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095D0B2" w:rsidR="00CD0B10" w:rsidRPr="006979CF" w:rsidRDefault="09CFF4AB">
      <w:pPr>
        <w:rPr>
          <w:rFonts w:ascii="Arial" w:hAnsi="Arial" w:cs="Arial"/>
          <w:b/>
          <w:bCs/>
        </w:rPr>
      </w:pPr>
      <w:r w:rsidRPr="006979CF">
        <w:rPr>
          <w:rFonts w:ascii="Arial" w:hAnsi="Arial" w:cs="Arial"/>
          <w:b/>
          <w:bCs/>
        </w:rPr>
        <w:t>January 26 Standardisation meeting notes</w:t>
      </w:r>
    </w:p>
    <w:p w14:paraId="6C5F8E4E" w14:textId="052A2651" w:rsidR="2FE871E8" w:rsidRPr="006979CF" w:rsidRDefault="00B02CC6">
      <w:pPr>
        <w:rPr>
          <w:rFonts w:ascii="Arial" w:hAnsi="Arial" w:cs="Arial"/>
        </w:rPr>
      </w:pPr>
      <w:r w:rsidRPr="006979CF">
        <w:rPr>
          <w:rFonts w:ascii="Arial" w:hAnsi="Arial" w:cs="Arial"/>
        </w:rPr>
        <w:t>6 January 9</w:t>
      </w:r>
      <w:r w:rsidR="000D286A" w:rsidRPr="006979CF">
        <w:rPr>
          <w:rFonts w:ascii="Arial" w:hAnsi="Arial" w:cs="Arial"/>
        </w:rPr>
        <w:t xml:space="preserve">-10:15 AM </w:t>
      </w:r>
    </w:p>
    <w:p w14:paraId="29AEBD20" w14:textId="7FC04970" w:rsidR="000D286A" w:rsidRPr="006979CF" w:rsidRDefault="000D286A">
      <w:pPr>
        <w:rPr>
          <w:rFonts w:ascii="Arial" w:hAnsi="Arial" w:cs="Arial"/>
        </w:rPr>
      </w:pPr>
      <w:r w:rsidRPr="006979CF">
        <w:rPr>
          <w:rFonts w:ascii="Arial" w:hAnsi="Arial" w:cs="Arial"/>
        </w:rPr>
        <w:t>Chute (EII)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2FE871E8" w:rsidRPr="006979CF" w14:paraId="00E23FC0" w14:textId="77777777" w:rsidTr="4A6DEF04">
        <w:trPr>
          <w:trHeight w:val="300"/>
        </w:trPr>
        <w:tc>
          <w:tcPr>
            <w:tcW w:w="4508" w:type="dxa"/>
          </w:tcPr>
          <w:p w14:paraId="25AF018A" w14:textId="080EFD25" w:rsidR="2FE871E8" w:rsidRPr="006979CF" w:rsidRDefault="09CFF4AB" w:rsidP="2FE871E8">
            <w:pPr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Attended</w:t>
            </w:r>
          </w:p>
        </w:tc>
        <w:tc>
          <w:tcPr>
            <w:tcW w:w="4508" w:type="dxa"/>
          </w:tcPr>
          <w:p w14:paraId="7D200277" w14:textId="4351CF6D" w:rsidR="2FE871E8" w:rsidRPr="006979CF" w:rsidRDefault="09CFF4AB" w:rsidP="2FE871E8">
            <w:pPr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Apologies</w:t>
            </w:r>
          </w:p>
        </w:tc>
      </w:tr>
      <w:tr w:rsidR="2FE871E8" w:rsidRPr="006979CF" w14:paraId="61F2ECA8" w14:textId="77777777" w:rsidTr="4A6DEF04">
        <w:trPr>
          <w:trHeight w:val="300"/>
        </w:trPr>
        <w:tc>
          <w:tcPr>
            <w:tcW w:w="4508" w:type="dxa"/>
          </w:tcPr>
          <w:p w14:paraId="5AB6148E" w14:textId="77777777" w:rsidR="00276289" w:rsidRPr="006979CF" w:rsidRDefault="00276289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Amy Beadell</w:t>
            </w:r>
          </w:p>
          <w:p w14:paraId="163F6AAC" w14:textId="77777777" w:rsidR="00276289" w:rsidRPr="006979CF" w:rsidRDefault="00276289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Claire Allen</w:t>
            </w:r>
          </w:p>
          <w:p w14:paraId="19EC0F38" w14:textId="77777777" w:rsidR="00276289" w:rsidRPr="006979CF" w:rsidRDefault="00276289" w:rsidP="00276289">
            <w:pPr>
              <w:spacing w:line="279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Helen McGreggor</w:t>
            </w:r>
          </w:p>
          <w:p w14:paraId="10109CCE" w14:textId="77777777" w:rsidR="00276289" w:rsidRPr="006979CF" w:rsidRDefault="00276289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Peter McNulty</w:t>
            </w:r>
          </w:p>
          <w:p w14:paraId="685C4CEC" w14:textId="77777777" w:rsidR="00276289" w:rsidRPr="006979CF" w:rsidRDefault="00276289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Susie Higgs</w:t>
            </w:r>
          </w:p>
          <w:p w14:paraId="023800B1" w14:textId="37FFDB84" w:rsidR="2FE871E8" w:rsidRPr="006979CF" w:rsidRDefault="00276289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Wendy Scott</w:t>
            </w:r>
          </w:p>
        </w:tc>
        <w:tc>
          <w:tcPr>
            <w:tcW w:w="4508" w:type="dxa"/>
          </w:tcPr>
          <w:p w14:paraId="2EE33D6F" w14:textId="77777777" w:rsidR="00B02CC6" w:rsidRPr="006979CF" w:rsidRDefault="00B02CC6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Alison Long</w:t>
            </w:r>
          </w:p>
          <w:p w14:paraId="5EB88D42" w14:textId="77777777" w:rsidR="00B02CC6" w:rsidRPr="006979CF" w:rsidRDefault="00B02CC6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Jo Bourne</w:t>
            </w:r>
          </w:p>
          <w:p w14:paraId="6910172F" w14:textId="77777777" w:rsidR="00B02CC6" w:rsidRPr="006979CF" w:rsidRDefault="00B02CC6" w:rsidP="00B02CC6">
            <w:pPr>
              <w:spacing w:line="279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Kevin Sumner</w:t>
            </w:r>
          </w:p>
          <w:p w14:paraId="295649BB" w14:textId="77777777" w:rsidR="00B02CC6" w:rsidRPr="006979CF" w:rsidRDefault="00B02CC6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Laura Ellis</w:t>
            </w:r>
          </w:p>
          <w:p w14:paraId="6E5754BC" w14:textId="77777777" w:rsidR="00B02CC6" w:rsidRPr="006979CF" w:rsidRDefault="00B02CC6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Rachael James</w:t>
            </w:r>
          </w:p>
          <w:p w14:paraId="4E06F403" w14:textId="275AAD47" w:rsidR="00B02CC6" w:rsidRPr="006979CF" w:rsidRDefault="00B02CC6" w:rsidP="2FE871E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Sherri Barney</w:t>
            </w:r>
          </w:p>
        </w:tc>
      </w:tr>
    </w:tbl>
    <w:p w14:paraId="6D8147B5" w14:textId="554B3B73" w:rsidR="2FE871E8" w:rsidRPr="006979CF" w:rsidRDefault="2FE871E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2608A" w:rsidRPr="006979CF" w14:paraId="44CEB477" w14:textId="77777777" w:rsidTr="00C2608A">
        <w:tc>
          <w:tcPr>
            <w:tcW w:w="8784" w:type="dxa"/>
          </w:tcPr>
          <w:p w14:paraId="774FD746" w14:textId="77777777" w:rsidR="00C2608A" w:rsidRPr="006979CF" w:rsidRDefault="00715CAD">
            <w:pPr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OTLA reminders:</w:t>
            </w:r>
          </w:p>
          <w:p w14:paraId="58FC57AA" w14:textId="4997E094" w:rsidR="00715CAD" w:rsidRPr="006979CF" w:rsidRDefault="00715CAD" w:rsidP="00715CAD">
            <w:pPr>
              <w:rPr>
                <w:rFonts w:ascii="Arial" w:hAnsi="Arial" w:cs="Arial"/>
              </w:rPr>
            </w:pPr>
            <w:r w:rsidRPr="00715CAD">
              <w:rPr>
                <w:rFonts w:ascii="Arial" w:hAnsi="Arial" w:cs="Arial"/>
                <w:b/>
                <w:bCs/>
              </w:rPr>
              <w:t>Timeframe</w:t>
            </w:r>
            <w:r w:rsidRPr="006979CF">
              <w:rPr>
                <w:rFonts w:ascii="Arial" w:hAnsi="Arial" w:cs="Arial"/>
                <w:b/>
                <w:bCs/>
              </w:rPr>
              <w:t xml:space="preserve">: </w:t>
            </w:r>
            <w:r w:rsidRPr="006979CF">
              <w:rPr>
                <w:rFonts w:ascii="Arial" w:hAnsi="Arial" w:cs="Arial"/>
              </w:rPr>
              <w:t>please remember that there is an expectation to submit your completed reports within 3 working days</w:t>
            </w:r>
            <w:r w:rsidR="00164E8D" w:rsidRPr="006979CF">
              <w:rPr>
                <w:rFonts w:ascii="Arial" w:hAnsi="Arial" w:cs="Arial"/>
              </w:rPr>
              <w:t xml:space="preserve"> of the observation. If the report is delayed because you are waiting to feedback to the tutor then please do let the Quality Team know</w:t>
            </w:r>
            <w:r w:rsidR="004C39D9" w:rsidRPr="006979CF">
              <w:rPr>
                <w:rFonts w:ascii="Arial" w:hAnsi="Arial" w:cs="Arial"/>
              </w:rPr>
              <w:t xml:space="preserve">. If the tutor does not make themselves available for feedback within the </w:t>
            </w:r>
            <w:proofErr w:type="gramStart"/>
            <w:r w:rsidR="004C39D9" w:rsidRPr="006979CF">
              <w:rPr>
                <w:rFonts w:ascii="Arial" w:hAnsi="Arial" w:cs="Arial"/>
              </w:rPr>
              <w:t>week</w:t>
            </w:r>
            <w:proofErr w:type="gramEnd"/>
            <w:r w:rsidR="004C39D9" w:rsidRPr="006979CF">
              <w:rPr>
                <w:rFonts w:ascii="Arial" w:hAnsi="Arial" w:cs="Arial"/>
              </w:rPr>
              <w:t xml:space="preserve"> then the report can be sent out without this</w:t>
            </w:r>
            <w:r w:rsidR="00270682" w:rsidRPr="006979CF">
              <w:rPr>
                <w:rFonts w:ascii="Arial" w:hAnsi="Arial" w:cs="Arial"/>
              </w:rPr>
              <w:t>.</w:t>
            </w:r>
          </w:p>
          <w:p w14:paraId="3133463E" w14:textId="092CA8E2" w:rsidR="00270682" w:rsidRPr="00715CAD" w:rsidRDefault="00270682" w:rsidP="00715CAD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 xml:space="preserve">We are wanting tutors and </w:t>
            </w:r>
            <w:r w:rsidR="002023E3" w:rsidRPr="006979CF">
              <w:rPr>
                <w:rFonts w:ascii="Arial" w:hAnsi="Arial" w:cs="Arial"/>
              </w:rPr>
              <w:t>line managers</w:t>
            </w:r>
            <w:r w:rsidRPr="006979CF">
              <w:rPr>
                <w:rFonts w:ascii="Arial" w:hAnsi="Arial" w:cs="Arial"/>
              </w:rPr>
              <w:t xml:space="preserve"> to receive the reports in a timely manner </w:t>
            </w:r>
            <w:r w:rsidR="002023E3" w:rsidRPr="006979CF">
              <w:rPr>
                <w:rFonts w:ascii="Arial" w:hAnsi="Arial" w:cs="Arial"/>
              </w:rPr>
              <w:t>so that development points can be actioned as soon as possible.</w:t>
            </w:r>
          </w:p>
          <w:p w14:paraId="2A8D5328" w14:textId="77777777" w:rsidR="00F2283B" w:rsidRPr="006979CF" w:rsidRDefault="00F2283B" w:rsidP="00F2283B">
            <w:pPr>
              <w:rPr>
                <w:rFonts w:ascii="Arial" w:hAnsi="Arial" w:cs="Arial"/>
                <w:b/>
                <w:bCs/>
              </w:rPr>
            </w:pPr>
          </w:p>
          <w:p w14:paraId="7F7A1043" w14:textId="3497470B" w:rsidR="00F2283B" w:rsidRPr="00F2283B" w:rsidRDefault="00715CAD" w:rsidP="00F2283B">
            <w:pPr>
              <w:rPr>
                <w:rFonts w:ascii="Arial" w:hAnsi="Arial" w:cs="Arial"/>
              </w:rPr>
            </w:pPr>
            <w:r w:rsidRPr="00715CAD">
              <w:rPr>
                <w:rFonts w:ascii="Arial" w:hAnsi="Arial" w:cs="Arial"/>
                <w:b/>
                <w:bCs/>
              </w:rPr>
              <w:t>Context</w:t>
            </w:r>
            <w:r w:rsidR="002023E3" w:rsidRPr="006979CF">
              <w:rPr>
                <w:rFonts w:ascii="Arial" w:hAnsi="Arial" w:cs="Arial"/>
                <w:b/>
                <w:bCs/>
              </w:rPr>
              <w:t xml:space="preserve">: </w:t>
            </w:r>
            <w:r w:rsidR="00F2283B" w:rsidRPr="006979CF">
              <w:rPr>
                <w:rFonts w:ascii="Arial" w:hAnsi="Arial" w:cs="Arial"/>
              </w:rPr>
              <w:t xml:space="preserve">Within the context, please include objectives as bullet points rather than re-writing into a paragraph. </w:t>
            </w:r>
            <w:r w:rsidR="00F2283B" w:rsidRPr="00F2283B">
              <w:rPr>
                <w:rFonts w:ascii="Arial" w:hAnsi="Arial" w:cs="Arial"/>
              </w:rPr>
              <w:t>Include the aim (intent) of the course and the target learners, if you know the ATL theme (purpose) please include this as well.</w:t>
            </w:r>
          </w:p>
          <w:p w14:paraId="63BBEA8D" w14:textId="08CED381" w:rsidR="00715CAD" w:rsidRPr="00715CAD" w:rsidRDefault="00715CAD" w:rsidP="00715CAD">
            <w:pPr>
              <w:rPr>
                <w:rFonts w:ascii="Arial" w:hAnsi="Arial" w:cs="Arial"/>
              </w:rPr>
            </w:pPr>
          </w:p>
          <w:p w14:paraId="3B21FC3D" w14:textId="4E47763E" w:rsidR="00715CAD" w:rsidRPr="006979CF" w:rsidRDefault="00715CAD" w:rsidP="00715CAD">
            <w:pPr>
              <w:rPr>
                <w:rFonts w:ascii="Arial" w:hAnsi="Arial" w:cs="Arial"/>
              </w:rPr>
            </w:pPr>
            <w:r w:rsidRPr="00715CAD">
              <w:rPr>
                <w:rFonts w:ascii="Arial" w:hAnsi="Arial" w:cs="Arial"/>
                <w:b/>
                <w:bCs/>
              </w:rPr>
              <w:t>Main section</w:t>
            </w:r>
            <w:r w:rsidR="00022BEF" w:rsidRPr="006979CF">
              <w:rPr>
                <w:rFonts w:ascii="Arial" w:hAnsi="Arial" w:cs="Arial"/>
                <w:b/>
                <w:bCs/>
              </w:rPr>
              <w:t xml:space="preserve">: </w:t>
            </w:r>
            <w:r w:rsidR="00022BEF" w:rsidRPr="006979CF">
              <w:rPr>
                <w:rFonts w:ascii="Arial" w:hAnsi="Arial" w:cs="Arial"/>
              </w:rPr>
              <w:t xml:space="preserve">Please </w:t>
            </w:r>
            <w:r w:rsidR="75570097" w:rsidRPr="56C46D66">
              <w:rPr>
                <w:rFonts w:ascii="Arial" w:hAnsi="Arial" w:cs="Arial"/>
              </w:rPr>
              <w:t>refra</w:t>
            </w:r>
            <w:r w:rsidR="345838EA" w:rsidRPr="56C46D66">
              <w:rPr>
                <w:rFonts w:ascii="Arial" w:hAnsi="Arial" w:cs="Arial"/>
              </w:rPr>
              <w:t>in</w:t>
            </w:r>
            <w:r w:rsidR="00022BEF" w:rsidRPr="006979CF">
              <w:rPr>
                <w:rFonts w:ascii="Arial" w:hAnsi="Arial" w:cs="Arial"/>
              </w:rPr>
              <w:t xml:space="preserve"> from a running commentary, every paragraph should have meaningful judgement within it – think ‘what is this telling me?’</w:t>
            </w:r>
            <w:r w:rsidR="00990B68" w:rsidRPr="006979CF">
              <w:rPr>
                <w:rFonts w:ascii="Arial" w:hAnsi="Arial" w:cs="Arial"/>
              </w:rPr>
              <w:t xml:space="preserve"> Please also remember that when making a judgement to include examples</w:t>
            </w:r>
            <w:r w:rsidR="00C32BD0" w:rsidRPr="006979CF">
              <w:rPr>
                <w:rFonts w:ascii="Arial" w:hAnsi="Arial" w:cs="Arial"/>
              </w:rPr>
              <w:t xml:space="preserve"> (context). </w:t>
            </w:r>
          </w:p>
          <w:p w14:paraId="7953DFF7" w14:textId="77777777" w:rsidR="009E16CB" w:rsidRPr="00715CAD" w:rsidRDefault="009E16CB" w:rsidP="00715CAD">
            <w:pPr>
              <w:rPr>
                <w:rFonts w:ascii="Arial" w:hAnsi="Arial" w:cs="Arial"/>
              </w:rPr>
            </w:pPr>
          </w:p>
          <w:p w14:paraId="21D681E9" w14:textId="1EBED8D4" w:rsidR="00715CAD" w:rsidRPr="00715CAD" w:rsidRDefault="00715CAD" w:rsidP="00715CAD">
            <w:pPr>
              <w:rPr>
                <w:rFonts w:ascii="Arial" w:hAnsi="Arial" w:cs="Arial"/>
              </w:rPr>
            </w:pPr>
            <w:r w:rsidRPr="00715CAD">
              <w:rPr>
                <w:rFonts w:ascii="Arial" w:hAnsi="Arial" w:cs="Arial"/>
                <w:b/>
                <w:bCs/>
              </w:rPr>
              <w:t>Actions</w:t>
            </w:r>
            <w:r w:rsidR="009E16CB" w:rsidRPr="006979CF">
              <w:rPr>
                <w:rFonts w:ascii="Arial" w:hAnsi="Arial" w:cs="Arial"/>
                <w:b/>
                <w:bCs/>
              </w:rPr>
              <w:t xml:space="preserve">: </w:t>
            </w:r>
            <w:r w:rsidR="009E16CB" w:rsidRPr="006979CF">
              <w:rPr>
                <w:rFonts w:ascii="Arial" w:hAnsi="Arial" w:cs="Arial"/>
              </w:rPr>
              <w:t>Actions should be SMART – if you wish to expand on how they could be achieved add this to the developing good practice.</w:t>
            </w:r>
          </w:p>
          <w:p w14:paraId="7403CE94" w14:textId="525310FF" w:rsidR="00715CAD" w:rsidRPr="006979CF" w:rsidRDefault="00715CAD">
            <w:pPr>
              <w:rPr>
                <w:rFonts w:ascii="Arial" w:hAnsi="Arial" w:cs="Arial"/>
              </w:rPr>
            </w:pPr>
          </w:p>
        </w:tc>
      </w:tr>
      <w:tr w:rsidR="00C2608A" w:rsidRPr="006979CF" w14:paraId="694AE86E" w14:textId="77777777" w:rsidTr="00C2608A">
        <w:tc>
          <w:tcPr>
            <w:tcW w:w="8784" w:type="dxa"/>
          </w:tcPr>
          <w:p w14:paraId="66940629" w14:textId="77777777" w:rsidR="00C2608A" w:rsidRPr="006979CF" w:rsidRDefault="00C32BD0">
            <w:pPr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Learning Walks</w:t>
            </w:r>
          </w:p>
          <w:p w14:paraId="5D975D13" w14:textId="77777777" w:rsidR="00C32BD0" w:rsidRPr="006979CF" w:rsidRDefault="00E159C2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The overall feedback has been that the new format is being used well. The last section (reflections) has been used in a variety of ways and it was agreed that the wording would be changed</w:t>
            </w:r>
            <w:r w:rsidR="00DE2F7B" w:rsidRPr="006979CF">
              <w:rPr>
                <w:rFonts w:ascii="Arial" w:hAnsi="Arial" w:cs="Arial"/>
              </w:rPr>
              <w:t xml:space="preserve"> to developing good practice.</w:t>
            </w:r>
          </w:p>
          <w:p w14:paraId="0C74EF36" w14:textId="77777777" w:rsidR="00DE2F7B" w:rsidRPr="006979CF" w:rsidRDefault="00DE2F7B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 xml:space="preserve">Those who completed </w:t>
            </w:r>
            <w:r w:rsidR="00A82A47" w:rsidRPr="006979CF">
              <w:rPr>
                <w:rFonts w:ascii="Arial" w:hAnsi="Arial" w:cs="Arial"/>
              </w:rPr>
              <w:t>learning walks in the Autumn term included lots of information – some not always focused on the theme.</w:t>
            </w:r>
          </w:p>
          <w:p w14:paraId="49AC6A66" w14:textId="77777777" w:rsidR="00A82A47" w:rsidRPr="006979CF" w:rsidRDefault="00A82A47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Please separate the seen example</w:t>
            </w:r>
            <w:r w:rsidR="00D76B00" w:rsidRPr="006979CF">
              <w:rPr>
                <w:rFonts w:ascii="Arial" w:hAnsi="Arial" w:cs="Arial"/>
              </w:rPr>
              <w:t>s</w:t>
            </w:r>
            <w:r w:rsidRPr="006979CF">
              <w:rPr>
                <w:rFonts w:ascii="Arial" w:hAnsi="Arial" w:cs="Arial"/>
              </w:rPr>
              <w:t xml:space="preserve"> of inclusion (Spring theme)</w:t>
            </w:r>
            <w:r w:rsidR="00D76B00" w:rsidRPr="006979CF">
              <w:rPr>
                <w:rFonts w:ascii="Arial" w:hAnsi="Arial" w:cs="Arial"/>
              </w:rPr>
              <w:t xml:space="preserve"> from other examples of excellence.</w:t>
            </w:r>
          </w:p>
          <w:p w14:paraId="7268A486" w14:textId="01A3E3D8" w:rsidR="00D76B00" w:rsidRPr="006979CF" w:rsidRDefault="00D76B00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 xml:space="preserve">A new proforma for Spring will </w:t>
            </w:r>
            <w:r w:rsidR="61F69D13" w:rsidRPr="5C7705BF">
              <w:rPr>
                <w:rFonts w:ascii="Arial" w:hAnsi="Arial" w:cs="Arial"/>
              </w:rPr>
              <w:t xml:space="preserve">be </w:t>
            </w:r>
            <w:r w:rsidRPr="006979CF">
              <w:rPr>
                <w:rFonts w:ascii="Arial" w:hAnsi="Arial" w:cs="Arial"/>
              </w:rPr>
              <w:t>circulated to all and uploaded to the VLE</w:t>
            </w:r>
            <w:r w:rsidR="008740D6" w:rsidRPr="006979CF">
              <w:rPr>
                <w:rFonts w:ascii="Arial" w:hAnsi="Arial" w:cs="Arial"/>
              </w:rPr>
              <w:t>.</w:t>
            </w:r>
          </w:p>
          <w:p w14:paraId="48EE16E4" w14:textId="7CB5A4B2" w:rsidR="000E7793" w:rsidRPr="006979CF" w:rsidRDefault="000E7793">
            <w:pPr>
              <w:rPr>
                <w:rFonts w:ascii="Arial" w:hAnsi="Arial" w:cs="Arial"/>
              </w:rPr>
            </w:pPr>
            <w:proofErr w:type="spellStart"/>
            <w:r w:rsidRPr="006979CF">
              <w:rPr>
                <w:rFonts w:ascii="Arial" w:hAnsi="Arial" w:cs="Arial"/>
              </w:rPr>
              <w:t>PMcN</w:t>
            </w:r>
            <w:proofErr w:type="spellEnd"/>
            <w:r w:rsidRPr="006979CF">
              <w:rPr>
                <w:rFonts w:ascii="Arial" w:hAnsi="Arial" w:cs="Arial"/>
              </w:rPr>
              <w:t xml:space="preserve"> asked how the outcomes for learning walk report that goes to PMG is being used</w:t>
            </w:r>
            <w:r w:rsidR="00A23948" w:rsidRPr="006979CF">
              <w:rPr>
                <w:rFonts w:ascii="Arial" w:hAnsi="Arial" w:cs="Arial"/>
              </w:rPr>
              <w:t xml:space="preserve">. Managers at PMG in receipt of the termly learning walk report should be sharing this with their </w:t>
            </w:r>
            <w:r w:rsidR="00F57230" w:rsidRPr="006979CF">
              <w:rPr>
                <w:rFonts w:ascii="Arial" w:hAnsi="Arial" w:cs="Arial"/>
              </w:rPr>
              <w:t>teams so that all teams are learning from each other.</w:t>
            </w:r>
          </w:p>
        </w:tc>
      </w:tr>
      <w:tr w:rsidR="00C2608A" w:rsidRPr="006979CF" w14:paraId="2C60290C" w14:textId="77777777" w:rsidTr="00C2608A">
        <w:tc>
          <w:tcPr>
            <w:tcW w:w="8784" w:type="dxa"/>
          </w:tcPr>
          <w:p w14:paraId="3350DC90" w14:textId="77777777" w:rsidR="00C2608A" w:rsidRPr="006979CF" w:rsidRDefault="008740D6">
            <w:pPr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Safeguarding</w:t>
            </w:r>
          </w:p>
          <w:p w14:paraId="6ED6FBC6" w14:textId="0E0EDD93" w:rsidR="00353A4A" w:rsidRPr="006979CF" w:rsidRDefault="00ED1059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lastRenderedPageBreak/>
              <w:t>Discussions were held on when a safeguarding action would lead to a requirement for reobservation or whether or not a learning walk would be suitable to confirm improvement to practice.</w:t>
            </w:r>
          </w:p>
          <w:p w14:paraId="4552BA85" w14:textId="0BCA92D2" w:rsidR="003E4D24" w:rsidRPr="006979CF" w:rsidRDefault="00BA3E28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 xml:space="preserve">It was </w:t>
            </w:r>
            <w:r w:rsidR="49BD5FA1" w:rsidRPr="56C46D66">
              <w:rPr>
                <w:rFonts w:ascii="Arial" w:hAnsi="Arial" w:cs="Arial"/>
              </w:rPr>
              <w:t>acknowledged</w:t>
            </w:r>
            <w:r w:rsidRPr="006979CF">
              <w:rPr>
                <w:rFonts w:ascii="Arial" w:hAnsi="Arial" w:cs="Arial"/>
              </w:rPr>
              <w:t xml:space="preserve"> that C2H tutors do not always have a hants.gov email address</w:t>
            </w:r>
            <w:r w:rsidR="00CC5F4F" w:rsidRPr="006979CF">
              <w:rPr>
                <w:rFonts w:ascii="Arial" w:hAnsi="Arial" w:cs="Arial"/>
              </w:rPr>
              <w:t xml:space="preserve"> </w:t>
            </w:r>
            <w:r w:rsidR="11F393D5" w:rsidRPr="56C46D66">
              <w:rPr>
                <w:rFonts w:ascii="Arial" w:hAnsi="Arial" w:cs="Arial"/>
              </w:rPr>
              <w:t>but where they do</w:t>
            </w:r>
            <w:r w:rsidR="00CC5F4F" w:rsidRPr="006979CF">
              <w:rPr>
                <w:rFonts w:ascii="Arial" w:hAnsi="Arial" w:cs="Arial"/>
              </w:rPr>
              <w:t xml:space="preserve"> have </w:t>
            </w:r>
            <w:r w:rsidR="11F393D5" w:rsidRPr="56C46D66">
              <w:rPr>
                <w:rFonts w:ascii="Arial" w:hAnsi="Arial" w:cs="Arial"/>
              </w:rPr>
              <w:t xml:space="preserve">one, they should be using it. It has </w:t>
            </w:r>
            <w:r w:rsidR="58AEA5F5" w:rsidRPr="56C46D66">
              <w:rPr>
                <w:rFonts w:ascii="Arial" w:hAnsi="Arial" w:cs="Arial"/>
              </w:rPr>
              <w:t>been clarified by our DSLs that even if a tutor has</w:t>
            </w:r>
            <w:r w:rsidR="00CC5F4F" w:rsidRPr="006979CF">
              <w:rPr>
                <w:rFonts w:ascii="Arial" w:hAnsi="Arial" w:cs="Arial"/>
              </w:rPr>
              <w:t xml:space="preserve"> an email account just for their professional role</w:t>
            </w:r>
            <w:r w:rsidR="7AFCBD4C" w:rsidRPr="56C46D66">
              <w:rPr>
                <w:rFonts w:ascii="Arial" w:hAnsi="Arial" w:cs="Arial"/>
              </w:rPr>
              <w:t xml:space="preserve"> this is not acceptable</w:t>
            </w:r>
            <w:r w:rsidR="13DAE30B" w:rsidRPr="56C46D66">
              <w:rPr>
                <w:rFonts w:ascii="Arial" w:hAnsi="Arial" w:cs="Arial"/>
              </w:rPr>
              <w:t xml:space="preserve">. </w:t>
            </w:r>
          </w:p>
          <w:p w14:paraId="011DC975" w14:textId="2D891010" w:rsidR="00BA3E28" w:rsidRPr="006979CF" w:rsidRDefault="00837430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 xml:space="preserve">JB noted that </w:t>
            </w:r>
            <w:r w:rsidR="007D1029" w:rsidRPr="006979CF">
              <w:rPr>
                <w:rFonts w:ascii="Arial" w:hAnsi="Arial" w:cs="Arial"/>
              </w:rPr>
              <w:t xml:space="preserve">Area Learning Leads </w:t>
            </w:r>
            <w:r w:rsidR="003E4D24" w:rsidRPr="006979CF">
              <w:rPr>
                <w:rFonts w:ascii="Arial" w:hAnsi="Arial" w:cs="Arial"/>
              </w:rPr>
              <w:t xml:space="preserve">do not have capacity to handle all </w:t>
            </w:r>
            <w:r w:rsidR="007D1029" w:rsidRPr="006979CF">
              <w:rPr>
                <w:rFonts w:ascii="Arial" w:hAnsi="Arial" w:cs="Arial"/>
              </w:rPr>
              <w:t xml:space="preserve">the tutor </w:t>
            </w:r>
            <w:r w:rsidR="003E4D24" w:rsidRPr="006979CF">
              <w:rPr>
                <w:rFonts w:ascii="Arial" w:hAnsi="Arial" w:cs="Arial"/>
              </w:rPr>
              <w:t>communication to learners</w:t>
            </w:r>
            <w:r w:rsidR="1A7DE914" w:rsidRPr="56C46D66">
              <w:rPr>
                <w:rFonts w:ascii="Arial" w:hAnsi="Arial" w:cs="Arial"/>
              </w:rPr>
              <w:t>: it was acknowledged that senior managers are looking into providing hants.gov email addresses</w:t>
            </w:r>
            <w:r w:rsidR="003E4D24" w:rsidRPr="006979CF">
              <w:rPr>
                <w:rFonts w:ascii="Arial" w:hAnsi="Arial" w:cs="Arial"/>
              </w:rPr>
              <w:t>.</w:t>
            </w:r>
          </w:p>
          <w:p w14:paraId="7E2BBC14" w14:textId="771BA534" w:rsidR="00E57929" w:rsidRPr="006979CF" w:rsidRDefault="00E57929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All tutors have been told that they must not be setting up WhatsApp groups with their learners.</w:t>
            </w:r>
          </w:p>
          <w:p w14:paraId="7931E76D" w14:textId="77777777" w:rsidR="008740D6" w:rsidRPr="006979CF" w:rsidRDefault="00B27B4A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See below for concern level examples.</w:t>
            </w:r>
          </w:p>
          <w:p w14:paraId="79C3A54A" w14:textId="12248FE5" w:rsidR="006141BE" w:rsidRPr="006979CF" w:rsidRDefault="006141BE">
            <w:pPr>
              <w:rPr>
                <w:rFonts w:ascii="Arial" w:hAnsi="Arial" w:cs="Arial"/>
              </w:rPr>
            </w:pPr>
          </w:p>
        </w:tc>
      </w:tr>
      <w:tr w:rsidR="00C2608A" w:rsidRPr="006979CF" w14:paraId="5C385AD7" w14:textId="77777777" w:rsidTr="00C2608A">
        <w:tc>
          <w:tcPr>
            <w:tcW w:w="8784" w:type="dxa"/>
          </w:tcPr>
          <w:p w14:paraId="1FB101C9" w14:textId="77777777" w:rsidR="00325B2D" w:rsidRPr="006979CF" w:rsidRDefault="00325B2D" w:rsidP="00325B2D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  <w:b/>
                <w:bCs/>
              </w:rPr>
              <w:lastRenderedPageBreak/>
              <w:t>Safeguarding Activity (see Below</w:t>
            </w:r>
            <w:r w:rsidRPr="006979CF">
              <w:rPr>
                <w:rFonts w:ascii="Arial" w:hAnsi="Arial" w:cs="Arial"/>
              </w:rPr>
              <w:t>)</w:t>
            </w:r>
          </w:p>
          <w:p w14:paraId="5855B3EE" w14:textId="77777777" w:rsidR="00C2608A" w:rsidRPr="006979CF" w:rsidRDefault="00325B2D" w:rsidP="00325B2D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A review of safeguarding actions from the Autumn term were reviewed and discussed as to whether or not the action alone would trigger a reobservation. Most were judged to only require a learning walk to confirm improved practice.</w:t>
            </w:r>
          </w:p>
          <w:p w14:paraId="503D776C" w14:textId="77777777" w:rsidR="00A477A1" w:rsidRPr="006979CF" w:rsidRDefault="00A477A1" w:rsidP="00325B2D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If you are unsure what outcome to apply then please discuss with WS or AB.</w:t>
            </w:r>
          </w:p>
          <w:p w14:paraId="00138CA0" w14:textId="0CBAF3AC" w:rsidR="00812907" w:rsidRPr="006979CF" w:rsidRDefault="00812907" w:rsidP="00325B2D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If a reobservation is required (</w:t>
            </w:r>
            <w:r w:rsidR="00605342" w:rsidRPr="006979CF">
              <w:rPr>
                <w:rFonts w:ascii="Arial" w:hAnsi="Arial" w:cs="Arial"/>
              </w:rPr>
              <w:t>requires</w:t>
            </w:r>
            <w:r w:rsidRPr="006979CF">
              <w:rPr>
                <w:rFonts w:ascii="Arial" w:hAnsi="Arial" w:cs="Arial"/>
              </w:rPr>
              <w:t xml:space="preserve"> support) then there is often other </w:t>
            </w:r>
            <w:r w:rsidR="00605342" w:rsidRPr="006979CF">
              <w:rPr>
                <w:rFonts w:ascii="Arial" w:hAnsi="Arial" w:cs="Arial"/>
              </w:rPr>
              <w:t>action areas or clear breach of our expected standards.</w:t>
            </w:r>
          </w:p>
        </w:tc>
      </w:tr>
      <w:tr w:rsidR="00C2608A" w:rsidRPr="006979CF" w14:paraId="3A8E6920" w14:textId="77777777" w:rsidTr="00C2608A">
        <w:tc>
          <w:tcPr>
            <w:tcW w:w="8784" w:type="dxa"/>
          </w:tcPr>
          <w:p w14:paraId="192D4041" w14:textId="77777777" w:rsidR="00C2608A" w:rsidRPr="006979CF" w:rsidRDefault="00605342">
            <w:pPr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Standardisation of reports</w:t>
            </w:r>
          </w:p>
          <w:p w14:paraId="3C1431D5" w14:textId="77777777" w:rsidR="00605342" w:rsidRPr="006979CF" w:rsidRDefault="00605342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 xml:space="preserve">Three reports were circulated prior to the meeting </w:t>
            </w:r>
            <w:r w:rsidR="006B3CF5" w:rsidRPr="006979CF">
              <w:rPr>
                <w:rFonts w:ascii="Arial" w:hAnsi="Arial" w:cs="Arial"/>
              </w:rPr>
              <w:t xml:space="preserve">for review against the following </w:t>
            </w:r>
          </w:p>
          <w:p w14:paraId="250AF4A9" w14:textId="77777777" w:rsidR="006B3CF5" w:rsidRPr="006B3CF5" w:rsidRDefault="006B3CF5" w:rsidP="006B3CF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3CF5">
              <w:rPr>
                <w:rFonts w:ascii="Arial" w:hAnsi="Arial" w:cs="Arial"/>
              </w:rPr>
              <w:t>Is the report written in a supportive manner?</w:t>
            </w:r>
          </w:p>
          <w:p w14:paraId="3058CB51" w14:textId="77777777" w:rsidR="006B3CF5" w:rsidRPr="006B3CF5" w:rsidRDefault="006B3CF5" w:rsidP="006B3CF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3CF5">
              <w:rPr>
                <w:rFonts w:ascii="Arial" w:hAnsi="Arial" w:cs="Arial"/>
              </w:rPr>
              <w:t>Does the report contain judgemental language throughout?</w:t>
            </w:r>
          </w:p>
          <w:p w14:paraId="597CA6AF" w14:textId="77777777" w:rsidR="006B3CF5" w:rsidRPr="006979CF" w:rsidRDefault="006B3CF5" w:rsidP="006B3CF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B3CF5">
              <w:rPr>
                <w:rFonts w:ascii="Arial" w:hAnsi="Arial" w:cs="Arial"/>
              </w:rPr>
              <w:t>Do the actions and strengths reflect the main content?</w:t>
            </w:r>
          </w:p>
          <w:tbl>
            <w:tblPr>
              <w:tblStyle w:val="TableGrid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2522"/>
              <w:gridCol w:w="1987"/>
              <w:gridCol w:w="1966"/>
              <w:gridCol w:w="1913"/>
            </w:tblGrid>
            <w:tr w:rsidR="00863C87" w:rsidRPr="006979CF" w14:paraId="3C7FDE95" w14:textId="77777777" w:rsidTr="0025412C">
              <w:tc>
                <w:tcPr>
                  <w:tcW w:w="2522" w:type="dxa"/>
                </w:tcPr>
                <w:p w14:paraId="63B0A187" w14:textId="77777777" w:rsidR="006B3CF5" w:rsidRPr="006979CF" w:rsidRDefault="006B3CF5" w:rsidP="006B3C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7" w:type="dxa"/>
                </w:tcPr>
                <w:p w14:paraId="0A31A13F" w14:textId="1F29D7AC" w:rsidR="006B3CF5" w:rsidRPr="006979CF" w:rsidRDefault="006B3CF5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Report 1</w:t>
                  </w:r>
                </w:p>
              </w:tc>
              <w:tc>
                <w:tcPr>
                  <w:tcW w:w="1966" w:type="dxa"/>
                </w:tcPr>
                <w:p w14:paraId="2D03A243" w14:textId="40FD80C6" w:rsidR="006B3CF5" w:rsidRPr="006979CF" w:rsidRDefault="006B3CF5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Report 2</w:t>
                  </w:r>
                </w:p>
              </w:tc>
              <w:tc>
                <w:tcPr>
                  <w:tcW w:w="1913" w:type="dxa"/>
                </w:tcPr>
                <w:p w14:paraId="7F74BCE7" w14:textId="46C7ACC1" w:rsidR="006B3CF5" w:rsidRPr="006979CF" w:rsidRDefault="006B3CF5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Report 3</w:t>
                  </w:r>
                </w:p>
              </w:tc>
            </w:tr>
            <w:tr w:rsidR="00863C87" w:rsidRPr="006979CF" w14:paraId="48E50F7B" w14:textId="77777777" w:rsidTr="0025412C">
              <w:tc>
                <w:tcPr>
                  <w:tcW w:w="2522" w:type="dxa"/>
                </w:tcPr>
                <w:p w14:paraId="108ACCEE" w14:textId="72A44507" w:rsidR="006B3CF5" w:rsidRPr="006979CF" w:rsidRDefault="006B3CF5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supportive</w:t>
                  </w:r>
                </w:p>
              </w:tc>
              <w:tc>
                <w:tcPr>
                  <w:tcW w:w="1987" w:type="dxa"/>
                </w:tcPr>
                <w:p w14:paraId="37E46EEC" w14:textId="2D8B808F" w:rsidR="006B3CF5" w:rsidRPr="006979CF" w:rsidRDefault="00D83C98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Wingdings" w:eastAsia="Wingdings" w:hAnsi="Wingdings" w:cs="Wingdings"/>
                    </w:rPr>
                    <w:sym w:font="Wingdings" w:char="F0FC"/>
                  </w:r>
                </w:p>
              </w:tc>
              <w:tc>
                <w:tcPr>
                  <w:tcW w:w="1966" w:type="dxa"/>
                </w:tcPr>
                <w:p w14:paraId="518030DF" w14:textId="4A5EE284" w:rsidR="006B3CF5" w:rsidRPr="006979CF" w:rsidRDefault="00D83C98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Wingdings" w:eastAsia="Wingdings" w:hAnsi="Wingdings" w:cs="Wingdings"/>
                    </w:rPr>
                    <w:sym w:font="Wingdings" w:char="F0FC"/>
                  </w:r>
                </w:p>
              </w:tc>
              <w:tc>
                <w:tcPr>
                  <w:tcW w:w="1913" w:type="dxa"/>
                </w:tcPr>
                <w:p w14:paraId="3DDFAC62" w14:textId="3524B9EC" w:rsidR="006B3CF5" w:rsidRPr="006979CF" w:rsidRDefault="00D83C98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Wingdings" w:eastAsia="Wingdings" w:hAnsi="Wingdings" w:cs="Wingdings"/>
                    </w:rPr>
                    <w:sym w:font="Wingdings" w:char="F0FC"/>
                  </w:r>
                </w:p>
              </w:tc>
            </w:tr>
            <w:tr w:rsidR="00863C87" w:rsidRPr="006979CF" w14:paraId="52B60015" w14:textId="77777777" w:rsidTr="0025412C">
              <w:tc>
                <w:tcPr>
                  <w:tcW w:w="2522" w:type="dxa"/>
                </w:tcPr>
                <w:p w14:paraId="168FC065" w14:textId="0BC8DD12" w:rsidR="006B3CF5" w:rsidRPr="006979CF" w:rsidRDefault="006B3CF5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Judgemental language</w:t>
                  </w:r>
                </w:p>
              </w:tc>
              <w:tc>
                <w:tcPr>
                  <w:tcW w:w="1987" w:type="dxa"/>
                </w:tcPr>
                <w:p w14:paraId="23D4ACF3" w14:textId="4BCA38AE" w:rsidR="006B3CF5" w:rsidRPr="006979CF" w:rsidRDefault="005C39BD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Wingdings" w:eastAsia="Wingdings" w:hAnsi="Wingdings" w:cs="Wingdings"/>
                    </w:rPr>
                    <w:sym w:font="Wingdings" w:char="F0FC"/>
                  </w:r>
                </w:p>
              </w:tc>
              <w:tc>
                <w:tcPr>
                  <w:tcW w:w="1966" w:type="dxa"/>
                </w:tcPr>
                <w:p w14:paraId="30FB99FB" w14:textId="160A9370" w:rsidR="006B3CF5" w:rsidRPr="006979CF" w:rsidRDefault="00E4583D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Report was a bit on the descriptive side and could have had more judgemental language</w:t>
                  </w:r>
                </w:p>
              </w:tc>
              <w:tc>
                <w:tcPr>
                  <w:tcW w:w="1913" w:type="dxa"/>
                </w:tcPr>
                <w:p w14:paraId="3F4EF266" w14:textId="3712B42E" w:rsidR="006B3CF5" w:rsidRPr="006979CF" w:rsidRDefault="00E4583D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Missing some</w:t>
                  </w:r>
                  <w:r w:rsidR="00863C87" w:rsidRPr="006979CF">
                    <w:rPr>
                      <w:rFonts w:ascii="Arial" w:hAnsi="Arial" w:cs="Arial"/>
                    </w:rPr>
                    <w:t xml:space="preserve"> aspects of judgement</w:t>
                  </w:r>
                </w:p>
              </w:tc>
            </w:tr>
            <w:tr w:rsidR="00863C87" w:rsidRPr="006979CF" w14:paraId="2DB56002" w14:textId="77777777" w:rsidTr="0025412C">
              <w:tc>
                <w:tcPr>
                  <w:tcW w:w="2522" w:type="dxa"/>
                </w:tcPr>
                <w:p w14:paraId="2B2DF4FB" w14:textId="167A8EEC" w:rsidR="006B3CF5" w:rsidRPr="006979CF" w:rsidRDefault="00D83C98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Suitable actions and strengths</w:t>
                  </w:r>
                </w:p>
              </w:tc>
              <w:tc>
                <w:tcPr>
                  <w:tcW w:w="1987" w:type="dxa"/>
                </w:tcPr>
                <w:p w14:paraId="1D1C0260" w14:textId="27ED49FF" w:rsidR="006B3CF5" w:rsidRPr="006979CF" w:rsidRDefault="005C39BD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Wingdings" w:eastAsia="Wingdings" w:hAnsi="Wingdings" w:cs="Wingdings"/>
                    </w:rPr>
                    <w:sym w:font="Wingdings" w:char="F0FC"/>
                  </w:r>
                </w:p>
              </w:tc>
              <w:tc>
                <w:tcPr>
                  <w:tcW w:w="1966" w:type="dxa"/>
                </w:tcPr>
                <w:p w14:paraId="5693D166" w14:textId="553C8CDC" w:rsidR="006B3CF5" w:rsidRPr="006979CF" w:rsidRDefault="005C39BD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Wingdings" w:eastAsia="Wingdings" w:hAnsi="Wingdings" w:cs="Wingdings"/>
                    </w:rPr>
                    <w:sym w:font="Wingdings" w:char="F0FC"/>
                  </w:r>
                </w:p>
              </w:tc>
              <w:tc>
                <w:tcPr>
                  <w:tcW w:w="1913" w:type="dxa"/>
                </w:tcPr>
                <w:p w14:paraId="7FD51C8E" w14:textId="0EF4A9DE" w:rsidR="006B3CF5" w:rsidRPr="006979CF" w:rsidRDefault="005C39BD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Wingdings" w:eastAsia="Wingdings" w:hAnsi="Wingdings" w:cs="Wingdings"/>
                    </w:rPr>
                    <w:sym w:font="Wingdings" w:char="F0FC"/>
                  </w:r>
                </w:p>
              </w:tc>
            </w:tr>
            <w:tr w:rsidR="0025412C" w:rsidRPr="006979CF" w14:paraId="5576D9D1" w14:textId="77777777" w:rsidTr="0025412C">
              <w:tc>
                <w:tcPr>
                  <w:tcW w:w="2522" w:type="dxa"/>
                </w:tcPr>
                <w:p w14:paraId="27473B26" w14:textId="22E8FD0F" w:rsidR="00D83C98" w:rsidRPr="006979CF" w:rsidRDefault="00D83C98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comment</w:t>
                  </w:r>
                </w:p>
              </w:tc>
              <w:tc>
                <w:tcPr>
                  <w:tcW w:w="1987" w:type="dxa"/>
                </w:tcPr>
                <w:p w14:paraId="72B4F519" w14:textId="09F6954B" w:rsidR="00D83C98" w:rsidRPr="006979CF" w:rsidRDefault="00863C87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Strength on classroom management could have been added</w:t>
                  </w:r>
                </w:p>
              </w:tc>
              <w:tc>
                <w:tcPr>
                  <w:tcW w:w="1966" w:type="dxa"/>
                </w:tcPr>
                <w:p w14:paraId="6E268412" w14:textId="77777777" w:rsidR="00D83C98" w:rsidRPr="006979CF" w:rsidRDefault="005D6B0A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Strength on clarity of purpose could be added</w:t>
                  </w:r>
                </w:p>
                <w:p w14:paraId="232BA72F" w14:textId="126282B1" w:rsidR="005D6B0A" w:rsidRPr="006979CF" w:rsidRDefault="005D6B0A" w:rsidP="006B3CF5">
                  <w:pPr>
                    <w:rPr>
                      <w:rFonts w:ascii="Arial" w:hAnsi="Arial" w:cs="Arial"/>
                    </w:rPr>
                  </w:pPr>
                  <w:r w:rsidRPr="006979CF">
                    <w:rPr>
                      <w:rFonts w:ascii="Arial" w:hAnsi="Arial" w:cs="Arial"/>
                    </w:rPr>
                    <w:t>Should also include why learners were absent</w:t>
                  </w:r>
                </w:p>
              </w:tc>
              <w:tc>
                <w:tcPr>
                  <w:tcW w:w="1913" w:type="dxa"/>
                </w:tcPr>
                <w:p w14:paraId="5CB98D84" w14:textId="77777777" w:rsidR="00D83C98" w:rsidRPr="006979CF" w:rsidRDefault="00D83C98" w:rsidP="006B3CF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959A940" w14:textId="77777777" w:rsidR="006B3CF5" w:rsidRPr="006B3CF5" w:rsidRDefault="006B3CF5" w:rsidP="006B3CF5">
            <w:pPr>
              <w:ind w:left="720"/>
              <w:rPr>
                <w:rFonts w:ascii="Arial" w:hAnsi="Arial" w:cs="Arial"/>
              </w:rPr>
            </w:pPr>
          </w:p>
          <w:p w14:paraId="7901CD1A" w14:textId="0588F80F" w:rsidR="006B3CF5" w:rsidRPr="006979CF" w:rsidRDefault="0006271B">
            <w:pPr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It was noted that if there were no actions and little on developing good practice then we would expect there to be more than 2 strengths</w:t>
            </w:r>
            <w:r w:rsidR="00785E68" w:rsidRPr="006979CF">
              <w:rPr>
                <w:rFonts w:ascii="Arial" w:hAnsi="Arial" w:cs="Arial"/>
              </w:rPr>
              <w:t>.</w:t>
            </w:r>
          </w:p>
        </w:tc>
      </w:tr>
      <w:tr w:rsidR="00785E68" w:rsidRPr="006979CF" w14:paraId="4A10728B" w14:textId="77777777" w:rsidTr="00C2608A">
        <w:tc>
          <w:tcPr>
            <w:tcW w:w="8784" w:type="dxa"/>
          </w:tcPr>
          <w:p w14:paraId="374BF96D" w14:textId="77777777" w:rsidR="00785E68" w:rsidRPr="006979CF" w:rsidRDefault="006979CF">
            <w:pPr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Next meeting dates:</w:t>
            </w:r>
          </w:p>
          <w:p w14:paraId="696C9583" w14:textId="77777777" w:rsidR="006979CF" w:rsidRPr="006979CF" w:rsidRDefault="006979CF" w:rsidP="006979CF">
            <w:pPr>
              <w:ind w:left="720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lastRenderedPageBreak/>
              <w:t>24</w:t>
            </w:r>
            <w:r w:rsidRPr="006979CF">
              <w:rPr>
                <w:rFonts w:ascii="Arial" w:hAnsi="Arial" w:cs="Arial"/>
                <w:vertAlign w:val="superscript"/>
              </w:rPr>
              <w:t>th</w:t>
            </w:r>
            <w:r w:rsidRPr="006979CF">
              <w:rPr>
                <w:rFonts w:ascii="Arial" w:hAnsi="Arial" w:cs="Arial"/>
              </w:rPr>
              <w:t xml:space="preserve"> March 9-10:15</w:t>
            </w:r>
          </w:p>
          <w:p w14:paraId="05B09F6E" w14:textId="77777777" w:rsidR="006979CF" w:rsidRPr="006979CF" w:rsidRDefault="006979CF" w:rsidP="006979CF">
            <w:pPr>
              <w:ind w:left="720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21</w:t>
            </w:r>
            <w:r w:rsidRPr="006979CF">
              <w:rPr>
                <w:rFonts w:ascii="Arial" w:hAnsi="Arial" w:cs="Arial"/>
                <w:vertAlign w:val="superscript"/>
              </w:rPr>
              <w:t>st</w:t>
            </w:r>
            <w:r w:rsidRPr="006979CF">
              <w:rPr>
                <w:rFonts w:ascii="Arial" w:hAnsi="Arial" w:cs="Arial"/>
              </w:rPr>
              <w:t xml:space="preserve"> July 9-10:15</w:t>
            </w:r>
          </w:p>
          <w:p w14:paraId="2721784A" w14:textId="3A559F90" w:rsidR="006979CF" w:rsidRPr="006979CF" w:rsidRDefault="006979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B7AD668" w14:textId="77777777" w:rsidR="000D286A" w:rsidRPr="006979CF" w:rsidRDefault="000D286A">
      <w:pPr>
        <w:rPr>
          <w:rFonts w:ascii="Arial" w:hAnsi="Arial" w:cs="Arial"/>
        </w:rPr>
      </w:pPr>
    </w:p>
    <w:p w14:paraId="04DFA517" w14:textId="58E3FF30" w:rsidR="00E719BB" w:rsidRPr="006979CF" w:rsidRDefault="00E719BB">
      <w:pPr>
        <w:rPr>
          <w:rFonts w:ascii="Arial" w:hAnsi="Arial" w:cs="Arial"/>
        </w:rPr>
      </w:pPr>
      <w:r w:rsidRPr="006979CF">
        <w:rPr>
          <w:rFonts w:ascii="Arial" w:hAnsi="Arial" w:cs="Arial"/>
        </w:rPr>
        <w:t>Safeguarding concern levels</w:t>
      </w:r>
    </w:p>
    <w:tbl>
      <w:tblPr>
        <w:tblStyle w:val="TableGrid"/>
        <w:tblW w:w="9346" w:type="dxa"/>
        <w:tblLook w:val="0420" w:firstRow="1" w:lastRow="0" w:firstColumn="0" w:lastColumn="0" w:noHBand="0" w:noVBand="1"/>
      </w:tblPr>
      <w:tblGrid>
        <w:gridCol w:w="1266"/>
        <w:gridCol w:w="8080"/>
      </w:tblGrid>
      <w:tr w:rsidR="00E719BB" w:rsidRPr="00E719BB" w14:paraId="3D9C20FF" w14:textId="77777777" w:rsidTr="00E719BB">
        <w:trPr>
          <w:trHeight w:val="584"/>
        </w:trPr>
        <w:tc>
          <w:tcPr>
            <w:tcW w:w="1266" w:type="dxa"/>
            <w:hideMark/>
          </w:tcPr>
          <w:p w14:paraId="2E5CCC0D" w14:textId="77777777" w:rsidR="00E719BB" w:rsidRPr="00E719BB" w:rsidRDefault="00E719BB" w:rsidP="00A477A1">
            <w:pPr>
              <w:spacing w:line="279" w:lineRule="auto"/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  <w:b/>
                <w:bCs/>
              </w:rPr>
              <w:t>Concern level</w:t>
            </w:r>
          </w:p>
        </w:tc>
        <w:tc>
          <w:tcPr>
            <w:tcW w:w="8080" w:type="dxa"/>
            <w:hideMark/>
          </w:tcPr>
          <w:p w14:paraId="390CDD8C" w14:textId="77777777" w:rsidR="00E719BB" w:rsidRPr="00E719BB" w:rsidRDefault="00E719BB" w:rsidP="00A477A1">
            <w:pPr>
              <w:rPr>
                <w:rFonts w:ascii="Arial" w:hAnsi="Arial" w:cs="Arial"/>
              </w:rPr>
            </w:pPr>
          </w:p>
        </w:tc>
      </w:tr>
      <w:tr w:rsidR="00E719BB" w:rsidRPr="00E719BB" w14:paraId="41C64565" w14:textId="77777777" w:rsidTr="00E719BB">
        <w:trPr>
          <w:trHeight w:val="584"/>
        </w:trPr>
        <w:tc>
          <w:tcPr>
            <w:tcW w:w="1266" w:type="dxa"/>
            <w:hideMark/>
          </w:tcPr>
          <w:p w14:paraId="29AAA803" w14:textId="77777777" w:rsidR="00E719BB" w:rsidRPr="00E719BB" w:rsidRDefault="00E719BB" w:rsidP="00A477A1">
            <w:pPr>
              <w:spacing w:line="279" w:lineRule="auto"/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High</w:t>
            </w:r>
          </w:p>
        </w:tc>
        <w:tc>
          <w:tcPr>
            <w:tcW w:w="8080" w:type="dxa"/>
            <w:hideMark/>
          </w:tcPr>
          <w:p w14:paraId="12FC389C" w14:textId="77777777" w:rsidR="00E719BB" w:rsidRPr="00E719BB" w:rsidRDefault="00E719BB" w:rsidP="00A477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No safeguarding information given to learners at all</w:t>
            </w:r>
          </w:p>
          <w:p w14:paraId="71147104" w14:textId="77777777" w:rsidR="00E719BB" w:rsidRPr="00E719BB" w:rsidRDefault="00E719BB" w:rsidP="00A477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Unsafe methods of communication with learners (personal email/private phone number)</w:t>
            </w:r>
          </w:p>
          <w:p w14:paraId="38409712" w14:textId="77777777" w:rsidR="00E719BB" w:rsidRPr="00E719BB" w:rsidRDefault="00E719BB" w:rsidP="00A477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High number of learners do not recall receiving safeguarding information</w:t>
            </w:r>
          </w:p>
          <w:p w14:paraId="20F067AE" w14:textId="77777777" w:rsidR="00E719BB" w:rsidRPr="00E719BB" w:rsidRDefault="00E719BB" w:rsidP="00A477A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Tutor not picking up on comments from learners (which suggest potential unsafe situations or not responding to inappropriate comments)</w:t>
            </w:r>
          </w:p>
        </w:tc>
      </w:tr>
      <w:tr w:rsidR="00E719BB" w:rsidRPr="00E719BB" w14:paraId="6E5DF16E" w14:textId="77777777" w:rsidTr="00E719BB">
        <w:trPr>
          <w:trHeight w:val="584"/>
        </w:trPr>
        <w:tc>
          <w:tcPr>
            <w:tcW w:w="1266" w:type="dxa"/>
            <w:hideMark/>
          </w:tcPr>
          <w:p w14:paraId="6E60FC98" w14:textId="77777777" w:rsidR="00E719BB" w:rsidRPr="00E719BB" w:rsidRDefault="00E719BB" w:rsidP="00A477A1">
            <w:pPr>
              <w:spacing w:line="279" w:lineRule="auto"/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Medium</w:t>
            </w:r>
          </w:p>
        </w:tc>
        <w:tc>
          <w:tcPr>
            <w:tcW w:w="8080" w:type="dxa"/>
            <w:hideMark/>
          </w:tcPr>
          <w:p w14:paraId="19C7494F" w14:textId="77777777" w:rsidR="00E719BB" w:rsidRPr="00E719BB" w:rsidRDefault="00E719BB" w:rsidP="00A477A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Tutor not verifying learners for online courses (cameras off)</w:t>
            </w:r>
          </w:p>
          <w:p w14:paraId="0D54195E" w14:textId="77777777" w:rsidR="00E719BB" w:rsidRPr="00E719BB" w:rsidRDefault="00E719BB" w:rsidP="00A477A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Relying on learners reading information sent at enrolment</w:t>
            </w:r>
          </w:p>
        </w:tc>
      </w:tr>
      <w:tr w:rsidR="00E719BB" w:rsidRPr="00E719BB" w14:paraId="118302D6" w14:textId="77777777" w:rsidTr="00E719BB">
        <w:trPr>
          <w:trHeight w:val="584"/>
        </w:trPr>
        <w:tc>
          <w:tcPr>
            <w:tcW w:w="1266" w:type="dxa"/>
            <w:hideMark/>
          </w:tcPr>
          <w:p w14:paraId="2503F157" w14:textId="77777777" w:rsidR="00E719BB" w:rsidRPr="00E719BB" w:rsidRDefault="00E719BB" w:rsidP="00A477A1">
            <w:pPr>
              <w:spacing w:line="279" w:lineRule="auto"/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 xml:space="preserve">Low </w:t>
            </w:r>
          </w:p>
        </w:tc>
        <w:tc>
          <w:tcPr>
            <w:tcW w:w="8080" w:type="dxa"/>
            <w:hideMark/>
          </w:tcPr>
          <w:p w14:paraId="234E4B22" w14:textId="77777777" w:rsidR="00E719BB" w:rsidRPr="00E719BB" w:rsidRDefault="00E719BB" w:rsidP="00A477A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Safeguarding only covered within first session</w:t>
            </w:r>
          </w:p>
          <w:p w14:paraId="0DA5177E" w14:textId="77777777" w:rsidR="00E719BB" w:rsidRPr="00E719BB" w:rsidRDefault="00E719BB" w:rsidP="00A477A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719BB">
              <w:rPr>
                <w:rFonts w:ascii="Arial" w:hAnsi="Arial" w:cs="Arial"/>
              </w:rPr>
              <w:t>Information on display but not referred to</w:t>
            </w:r>
          </w:p>
        </w:tc>
      </w:tr>
    </w:tbl>
    <w:p w14:paraId="3A2A98C5" w14:textId="77777777" w:rsidR="00E719BB" w:rsidRPr="006979CF" w:rsidRDefault="00E719BB">
      <w:pPr>
        <w:rPr>
          <w:rFonts w:ascii="Arial" w:hAnsi="Arial" w:cs="Arial"/>
        </w:rPr>
      </w:pPr>
    </w:p>
    <w:p w14:paraId="55A20271" w14:textId="36361CD3" w:rsidR="00D80828" w:rsidRPr="006979CF" w:rsidRDefault="00D80828">
      <w:pPr>
        <w:rPr>
          <w:rFonts w:ascii="Arial" w:hAnsi="Arial" w:cs="Arial"/>
          <w:b/>
          <w:bCs/>
        </w:rPr>
      </w:pPr>
      <w:r w:rsidRPr="006979CF">
        <w:rPr>
          <w:rFonts w:ascii="Arial" w:hAnsi="Arial" w:cs="Arial"/>
          <w:b/>
          <w:bCs/>
        </w:rPr>
        <w:t>OTLA safeguarding actions</w:t>
      </w:r>
      <w:r w:rsidR="006141BE" w:rsidRPr="006979CF">
        <w:rPr>
          <w:rFonts w:ascii="Arial" w:hAnsi="Arial" w:cs="Arial"/>
          <w:b/>
          <w:bCs/>
        </w:rPr>
        <w:t xml:space="preserve"> activity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  <w:gridCol w:w="1705"/>
      </w:tblGrid>
      <w:tr w:rsidR="00D80828" w:rsidRPr="006979CF" w14:paraId="7454E127" w14:textId="454E3237" w:rsidTr="00D80828">
        <w:trPr>
          <w:trHeight w:val="2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47477" w14:textId="77777777" w:rsidR="00D80828" w:rsidRPr="00D80828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D80828">
              <w:rPr>
                <w:rFonts w:ascii="Arial" w:hAnsi="Arial" w:cs="Arial"/>
                <w:b/>
                <w:bCs/>
              </w:rPr>
              <w:t>Action</w:t>
            </w:r>
            <w:r w:rsidRPr="00D8082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</w:tcPr>
          <w:p w14:paraId="63E9312F" w14:textId="7CBC2A97" w:rsidR="00D80828" w:rsidRPr="006979CF" w:rsidRDefault="00D80828" w:rsidP="004169A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6979CF">
              <w:rPr>
                <w:rFonts w:ascii="Arial" w:hAnsi="Arial" w:cs="Arial"/>
                <w:b/>
                <w:bCs/>
              </w:rPr>
              <w:t>LW</w:t>
            </w:r>
          </w:p>
        </w:tc>
      </w:tr>
      <w:tr w:rsidR="00D80828" w:rsidRPr="006979CF" w14:paraId="1C66539B" w14:textId="411007B0" w:rsidTr="00D80828">
        <w:trPr>
          <w:trHeight w:val="10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E92E5" w14:textId="77777777" w:rsidR="00D80828" w:rsidRPr="00D80828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D80828">
              <w:rPr>
                <w:rFonts w:ascii="Arial" w:hAnsi="Arial" w:cs="Arial"/>
              </w:rPr>
              <w:t>Ensure that all learners have their cameras turned on throughout the session </w:t>
            </w:r>
          </w:p>
        </w:tc>
        <w:tc>
          <w:tcPr>
            <w:tcW w:w="0" w:type="auto"/>
          </w:tcPr>
          <w:p w14:paraId="1F03C53A" w14:textId="71206A4D" w:rsidR="00D80828" w:rsidRPr="006979CF" w:rsidRDefault="00AE069A" w:rsidP="004169A4">
            <w:pPr>
              <w:spacing w:line="240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LW</w:t>
            </w:r>
          </w:p>
        </w:tc>
      </w:tr>
      <w:tr w:rsidR="00D80828" w:rsidRPr="006979CF" w14:paraId="106EBB6B" w14:textId="7ACA6CC6" w:rsidTr="00AD784C">
        <w:trPr>
          <w:trHeight w:val="14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210E4" w14:textId="77777777" w:rsidR="00D80828" w:rsidRPr="00D80828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D80828">
              <w:rPr>
                <w:rFonts w:ascii="Arial" w:hAnsi="Arial" w:cs="Arial"/>
              </w:rPr>
              <w:t>You need to ensure learners have access to safeguarding information every session. </w:t>
            </w:r>
            <w:r w:rsidRPr="00D80828">
              <w:rPr>
                <w:rFonts w:ascii="Arial" w:hAnsi="Arial" w:cs="Arial"/>
              </w:rPr>
              <w:br/>
              <w:t>You should also be using your given hants.gov email to communicate with learners.  </w:t>
            </w:r>
          </w:p>
        </w:tc>
        <w:tc>
          <w:tcPr>
            <w:tcW w:w="0" w:type="auto"/>
          </w:tcPr>
          <w:p w14:paraId="42BBF23F" w14:textId="11625A9F" w:rsidR="00D80828" w:rsidRPr="006979CF" w:rsidRDefault="00AD784C" w:rsidP="004169A4">
            <w:pPr>
              <w:spacing w:line="240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 xml:space="preserve">Possible re-observation </w:t>
            </w:r>
          </w:p>
        </w:tc>
      </w:tr>
      <w:tr w:rsidR="00D80828" w:rsidRPr="006979CF" w14:paraId="67BF60FB" w14:textId="7704736A" w:rsidTr="00D80828">
        <w:trPr>
          <w:trHeight w:val="10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C161" w14:textId="77777777" w:rsidR="00D80828" w:rsidRPr="00D80828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D80828">
              <w:rPr>
                <w:rFonts w:ascii="Arial" w:hAnsi="Arial" w:cs="Arial"/>
              </w:rPr>
              <w:t>Make sure that information is displayed in every session on safeguarding, and that you are using your hants.gov email to communication with learners. </w:t>
            </w:r>
          </w:p>
        </w:tc>
        <w:tc>
          <w:tcPr>
            <w:tcW w:w="0" w:type="auto"/>
          </w:tcPr>
          <w:p w14:paraId="00CCB3C1" w14:textId="02229C45" w:rsidR="00D80828" w:rsidRPr="006979CF" w:rsidRDefault="00AD784C" w:rsidP="004169A4">
            <w:pPr>
              <w:spacing w:line="240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Possible re-observation</w:t>
            </w:r>
          </w:p>
        </w:tc>
      </w:tr>
      <w:tr w:rsidR="00D80828" w:rsidRPr="006979CF" w14:paraId="5B854EF4" w14:textId="4FFD2CAE" w:rsidTr="00D80828">
        <w:trPr>
          <w:trHeight w:val="6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8669C" w14:textId="77777777" w:rsidR="00D80828" w:rsidRPr="00D80828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D80828">
              <w:rPr>
                <w:rFonts w:ascii="Arial" w:hAnsi="Arial" w:cs="Arial"/>
              </w:rPr>
              <w:t>Do remember to remind learners about the availability of support information relating to safeguarding and wellbeing throughout the course, not just in the first session. </w:t>
            </w:r>
          </w:p>
        </w:tc>
        <w:tc>
          <w:tcPr>
            <w:tcW w:w="0" w:type="auto"/>
          </w:tcPr>
          <w:p w14:paraId="3EA7EE25" w14:textId="7B99A7B5" w:rsidR="00D80828" w:rsidRPr="006979CF" w:rsidRDefault="00561D90" w:rsidP="004169A4">
            <w:pPr>
              <w:spacing w:line="240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LW</w:t>
            </w:r>
          </w:p>
        </w:tc>
      </w:tr>
      <w:tr w:rsidR="00D80828" w:rsidRPr="006979CF" w14:paraId="4C67C553" w14:textId="4F833EA4" w:rsidTr="00D80828">
        <w:trPr>
          <w:trHeight w:val="4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2D024" w14:textId="77777777" w:rsidR="00D80828" w:rsidRPr="00D80828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D80828">
              <w:rPr>
                <w:rFonts w:ascii="Arial" w:hAnsi="Arial" w:cs="Arial"/>
              </w:rPr>
              <w:t>Ensure safeguarding information is available and referred to in every session. </w:t>
            </w:r>
          </w:p>
        </w:tc>
        <w:tc>
          <w:tcPr>
            <w:tcW w:w="0" w:type="auto"/>
          </w:tcPr>
          <w:p w14:paraId="79070266" w14:textId="43693716" w:rsidR="00D80828" w:rsidRPr="006979CF" w:rsidRDefault="00561D90" w:rsidP="004169A4">
            <w:pPr>
              <w:spacing w:line="240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LW</w:t>
            </w:r>
          </w:p>
        </w:tc>
      </w:tr>
      <w:tr w:rsidR="00D80828" w:rsidRPr="006979CF" w14:paraId="4C399061" w14:textId="5A50FCFC" w:rsidTr="00D80828">
        <w:trPr>
          <w:trHeight w:val="4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9EF99" w14:textId="77777777" w:rsidR="00D80828" w:rsidRPr="00D80828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D80828">
              <w:rPr>
                <w:rFonts w:ascii="Arial" w:hAnsi="Arial" w:cs="Arial"/>
              </w:rPr>
              <w:t>Find ways to incorporate Safeguarding, British Values and Prevent into your session. </w:t>
            </w:r>
          </w:p>
        </w:tc>
        <w:tc>
          <w:tcPr>
            <w:tcW w:w="0" w:type="auto"/>
          </w:tcPr>
          <w:p w14:paraId="70062BA2" w14:textId="74F11E62" w:rsidR="00D80828" w:rsidRPr="006979CF" w:rsidRDefault="00D80828" w:rsidP="004169A4">
            <w:pPr>
              <w:spacing w:line="240" w:lineRule="auto"/>
              <w:rPr>
                <w:rFonts w:ascii="Arial" w:hAnsi="Arial" w:cs="Arial"/>
              </w:rPr>
            </w:pPr>
            <w:r w:rsidRPr="006979CF">
              <w:rPr>
                <w:rFonts w:ascii="Arial" w:hAnsi="Arial" w:cs="Arial"/>
              </w:rPr>
              <w:t>LW</w:t>
            </w:r>
            <w:r w:rsidR="00561D90" w:rsidRPr="006979CF">
              <w:rPr>
                <w:rFonts w:ascii="Arial" w:hAnsi="Arial" w:cs="Arial"/>
              </w:rPr>
              <w:t>/tutor file check</w:t>
            </w:r>
          </w:p>
        </w:tc>
      </w:tr>
    </w:tbl>
    <w:p w14:paraId="6C19B44D" w14:textId="77777777" w:rsidR="00D80828" w:rsidRPr="006979CF" w:rsidRDefault="00D80828">
      <w:pPr>
        <w:rPr>
          <w:rFonts w:ascii="Arial" w:hAnsi="Arial" w:cs="Arial"/>
        </w:rPr>
      </w:pPr>
    </w:p>
    <w:sectPr w:rsidR="00D80828" w:rsidRPr="006979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DC1"/>
    <w:multiLevelType w:val="hybridMultilevel"/>
    <w:tmpl w:val="97D42D88"/>
    <w:lvl w:ilvl="0" w:tplc="30DA7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02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E8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83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B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AC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6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A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27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882C6C"/>
    <w:multiLevelType w:val="hybridMultilevel"/>
    <w:tmpl w:val="EB14F63A"/>
    <w:lvl w:ilvl="0" w:tplc="CEF4E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82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4A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FAB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08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45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2F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0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08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FD3888"/>
    <w:multiLevelType w:val="hybridMultilevel"/>
    <w:tmpl w:val="0E5AD1F8"/>
    <w:lvl w:ilvl="0" w:tplc="96B6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4D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AF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A4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82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C7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8B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A6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C5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BB6BC1"/>
    <w:multiLevelType w:val="hybridMultilevel"/>
    <w:tmpl w:val="59708284"/>
    <w:lvl w:ilvl="0" w:tplc="A244A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80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48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6D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41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28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AD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0F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CD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0939779">
    <w:abstractNumId w:val="0"/>
  </w:num>
  <w:num w:numId="2" w16cid:durableId="546571604">
    <w:abstractNumId w:val="1"/>
  </w:num>
  <w:num w:numId="3" w16cid:durableId="1579631502">
    <w:abstractNumId w:val="3"/>
  </w:num>
  <w:num w:numId="4" w16cid:durableId="9900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787602"/>
    <w:rsid w:val="00022BEF"/>
    <w:rsid w:val="0006271B"/>
    <w:rsid w:val="000D286A"/>
    <w:rsid w:val="000E7793"/>
    <w:rsid w:val="00164E8D"/>
    <w:rsid w:val="002023E3"/>
    <w:rsid w:val="0025412C"/>
    <w:rsid w:val="00270682"/>
    <w:rsid w:val="00276289"/>
    <w:rsid w:val="00325B2D"/>
    <w:rsid w:val="00353A4A"/>
    <w:rsid w:val="003905B4"/>
    <w:rsid w:val="003E4D24"/>
    <w:rsid w:val="004169A4"/>
    <w:rsid w:val="004C39D9"/>
    <w:rsid w:val="00561D90"/>
    <w:rsid w:val="005C39BD"/>
    <w:rsid w:val="005D6B0A"/>
    <w:rsid w:val="00605342"/>
    <w:rsid w:val="006141BE"/>
    <w:rsid w:val="006979CF"/>
    <w:rsid w:val="006B3CF5"/>
    <w:rsid w:val="00715CAD"/>
    <w:rsid w:val="00785E68"/>
    <w:rsid w:val="007D1029"/>
    <w:rsid w:val="00812907"/>
    <w:rsid w:val="00837430"/>
    <w:rsid w:val="00863C87"/>
    <w:rsid w:val="008740D6"/>
    <w:rsid w:val="00990B68"/>
    <w:rsid w:val="009E16CB"/>
    <w:rsid w:val="00A23948"/>
    <w:rsid w:val="00A477A1"/>
    <w:rsid w:val="00A82A47"/>
    <w:rsid w:val="00AD784C"/>
    <w:rsid w:val="00AE069A"/>
    <w:rsid w:val="00B02CC6"/>
    <w:rsid w:val="00B27B4A"/>
    <w:rsid w:val="00BA3E28"/>
    <w:rsid w:val="00C2608A"/>
    <w:rsid w:val="00C32BD0"/>
    <w:rsid w:val="00CA36E5"/>
    <w:rsid w:val="00CC5F4F"/>
    <w:rsid w:val="00CD0B10"/>
    <w:rsid w:val="00D76B00"/>
    <w:rsid w:val="00D80828"/>
    <w:rsid w:val="00D83C98"/>
    <w:rsid w:val="00DE2F7B"/>
    <w:rsid w:val="00E159C2"/>
    <w:rsid w:val="00E4583D"/>
    <w:rsid w:val="00E57929"/>
    <w:rsid w:val="00E70771"/>
    <w:rsid w:val="00E719BB"/>
    <w:rsid w:val="00E95D0E"/>
    <w:rsid w:val="00ED1059"/>
    <w:rsid w:val="00F2283B"/>
    <w:rsid w:val="00F57230"/>
    <w:rsid w:val="09CFF4AB"/>
    <w:rsid w:val="0C373676"/>
    <w:rsid w:val="0CEB4530"/>
    <w:rsid w:val="11571D02"/>
    <w:rsid w:val="11F393D5"/>
    <w:rsid w:val="13983543"/>
    <w:rsid w:val="13DAE30B"/>
    <w:rsid w:val="148F52E4"/>
    <w:rsid w:val="1A7DE914"/>
    <w:rsid w:val="23CA18A4"/>
    <w:rsid w:val="274998B2"/>
    <w:rsid w:val="27E5F6E7"/>
    <w:rsid w:val="2B78981A"/>
    <w:rsid w:val="2FE871E8"/>
    <w:rsid w:val="337E971E"/>
    <w:rsid w:val="345838EA"/>
    <w:rsid w:val="3B1AEBB5"/>
    <w:rsid w:val="3BA2AD2E"/>
    <w:rsid w:val="439BFEB9"/>
    <w:rsid w:val="49BD5FA1"/>
    <w:rsid w:val="4A6DEF04"/>
    <w:rsid w:val="4D129EFA"/>
    <w:rsid w:val="55CD7811"/>
    <w:rsid w:val="56C46D66"/>
    <w:rsid w:val="58AEA5F5"/>
    <w:rsid w:val="5C7705BF"/>
    <w:rsid w:val="5EC98DDF"/>
    <w:rsid w:val="5F47EB9E"/>
    <w:rsid w:val="61F69D13"/>
    <w:rsid w:val="639B9F03"/>
    <w:rsid w:val="67317A19"/>
    <w:rsid w:val="6A787602"/>
    <w:rsid w:val="6F9DB0A2"/>
    <w:rsid w:val="73816A78"/>
    <w:rsid w:val="75570097"/>
    <w:rsid w:val="7AFCB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7602"/>
  <w15:chartTrackingRefBased/>
  <w15:docId w15:val="{F823E00A-17C7-48D6-AF86-F3CE46C7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2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428ACF-9997-4F05-99FF-446A4C250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56A0A-A5FF-4F54-A92D-F580C8CDD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829E1-B62C-48E5-9920-AC478897485D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919</Words>
  <Characters>4809</Characters>
  <Application>Microsoft Office Word</Application>
  <DocSecurity>0</DocSecurity>
  <Lines>177</Lines>
  <Paragraphs>95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(Childrens Services)</dc:creator>
  <cp:keywords/>
  <dc:description/>
  <cp:lastModifiedBy>Scott, Wendy (Childrens Services)</cp:lastModifiedBy>
  <cp:revision>57</cp:revision>
  <dcterms:created xsi:type="dcterms:W3CDTF">2026-01-06T14:05:00Z</dcterms:created>
  <dcterms:modified xsi:type="dcterms:W3CDTF">2026-01-07T08:35:00Z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