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38B7" w14:textId="25B32CF6" w:rsidR="008C7537" w:rsidRPr="008C7537" w:rsidRDefault="005B6CBF" w:rsidP="008C7537">
      <w:pPr>
        <w:jc w:val="center"/>
        <w:rPr>
          <w:b/>
          <w:bCs/>
          <w:sz w:val="36"/>
          <w:szCs w:val="36"/>
        </w:rPr>
      </w:pPr>
      <w:r w:rsidRPr="005B6CBF">
        <w:rPr>
          <w:b/>
          <w:bCs/>
          <w:sz w:val="36"/>
          <w:szCs w:val="36"/>
        </w:rPr>
        <w:t>Digital tools for educators Factsheet</w:t>
      </w:r>
      <w:r>
        <w:rPr>
          <w:b/>
          <w:bCs/>
          <w:sz w:val="36"/>
          <w:szCs w:val="36"/>
        </w:rPr>
        <w:t xml:space="preserve">: </w:t>
      </w:r>
      <w:r w:rsidR="00A22EFC">
        <w:rPr>
          <w:b/>
          <w:bCs/>
          <w:sz w:val="36"/>
          <w:szCs w:val="36"/>
        </w:rPr>
        <w:t>WAVE</w:t>
      </w:r>
    </w:p>
    <w:p w14:paraId="04CEC57F" w14:textId="7608E042" w:rsidR="005B6CBF" w:rsidRPr="00BC021D" w:rsidRDefault="008C7537" w:rsidP="00C67009">
      <w:pPr>
        <w:jc w:val="center"/>
      </w:pPr>
      <w:r>
        <w:rPr>
          <w:noProof/>
        </w:rPr>
        <w:drawing>
          <wp:inline distT="0" distB="0" distL="0" distR="0" wp14:anchorId="4444F9A9" wp14:editId="4F9C8FDD">
            <wp:extent cx="1247617" cy="639642"/>
            <wp:effectExtent l="0" t="0" r="0" b="8255"/>
            <wp:docPr id="240898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98100" name="Picture 1"/>
                    <pic:cNvPicPr>
                      <a:picLocks noChangeAspect="1" noChangeArrowheads="1"/>
                    </pic:cNvPicPr>
                  </pic:nvPicPr>
                  <pic:blipFill>
                    <a:blip r:embed="rId5">
                      <a:extLst>
                        <a:ext uri="{28A0092B-C50C-407E-A947-70E740481C1C}">
                          <a14:useLocalDpi xmlns:a14="http://schemas.microsoft.com/office/drawing/2010/main" val="0"/>
                        </a:ext>
                      </a:extLst>
                    </a:blip>
                    <a:srcRect t="24365" b="24365"/>
                    <a:stretch>
                      <a:fillRect/>
                    </a:stretch>
                  </pic:blipFill>
                  <pic:spPr bwMode="auto">
                    <a:xfrm>
                      <a:off x="0" y="0"/>
                      <a:ext cx="1247617" cy="639642"/>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E420A8" w:rsidRDefault="005B6CBF">
            <w:pPr>
              <w:rPr>
                <w:sz w:val="24"/>
                <w:szCs w:val="24"/>
              </w:rPr>
            </w:pPr>
            <w:r w:rsidRPr="00E420A8">
              <w:rPr>
                <w:sz w:val="24"/>
                <w:szCs w:val="24"/>
              </w:rPr>
              <w:t>Name</w:t>
            </w:r>
          </w:p>
        </w:tc>
        <w:tc>
          <w:tcPr>
            <w:tcW w:w="7461" w:type="dxa"/>
          </w:tcPr>
          <w:p w14:paraId="1BD4433D" w14:textId="60055AB5" w:rsidR="005B6CBF" w:rsidRPr="00AE78E8" w:rsidRDefault="00A22EFC">
            <w:pPr>
              <w:rPr>
                <w:b/>
                <w:bCs/>
                <w:sz w:val="24"/>
                <w:szCs w:val="24"/>
              </w:rPr>
            </w:pPr>
            <w:r>
              <w:rPr>
                <w:b/>
                <w:bCs/>
                <w:sz w:val="24"/>
                <w:szCs w:val="24"/>
              </w:rPr>
              <w:t>WAVE</w:t>
            </w:r>
          </w:p>
        </w:tc>
      </w:tr>
      <w:tr w:rsidR="005B6CBF" w:rsidRPr="00BC021D" w14:paraId="1A3B2083" w14:textId="77777777" w:rsidTr="005B6CBF">
        <w:tc>
          <w:tcPr>
            <w:tcW w:w="1555" w:type="dxa"/>
          </w:tcPr>
          <w:p w14:paraId="3FDE09B1" w14:textId="41FBB68B" w:rsidR="005B6CBF" w:rsidRPr="007C497A" w:rsidRDefault="005B6CBF">
            <w:pPr>
              <w:rPr>
                <w:sz w:val="24"/>
                <w:szCs w:val="24"/>
              </w:rPr>
            </w:pPr>
            <w:r w:rsidRPr="007C497A">
              <w:rPr>
                <w:sz w:val="24"/>
                <w:szCs w:val="24"/>
              </w:rPr>
              <w:t>Link</w:t>
            </w:r>
          </w:p>
        </w:tc>
        <w:tc>
          <w:tcPr>
            <w:tcW w:w="7461" w:type="dxa"/>
          </w:tcPr>
          <w:p w14:paraId="4426A956" w14:textId="372A3491" w:rsidR="005B6CBF" w:rsidRPr="00A22EFC" w:rsidRDefault="00A22EFC">
            <w:pPr>
              <w:rPr>
                <w:b/>
                <w:bCs/>
                <w:sz w:val="24"/>
                <w:szCs w:val="24"/>
              </w:rPr>
            </w:pPr>
            <w:hyperlink r:id="rId6" w:history="1">
              <w:r w:rsidRPr="00A22EFC">
                <w:rPr>
                  <w:rStyle w:val="Hyperlink"/>
                  <w:b/>
                  <w:bCs/>
                </w:rPr>
                <w:t>WAVE Web Accessibility Evaluation Tools (webaim.org)</w:t>
              </w:r>
            </w:hyperlink>
          </w:p>
        </w:tc>
      </w:tr>
      <w:tr w:rsidR="005B6CBF" w:rsidRPr="00BC021D" w14:paraId="5A01B9C0" w14:textId="77777777" w:rsidTr="005B6CBF">
        <w:tc>
          <w:tcPr>
            <w:tcW w:w="1555" w:type="dxa"/>
          </w:tcPr>
          <w:p w14:paraId="695AF404" w14:textId="09C70C68" w:rsidR="005B6CBF" w:rsidRPr="007C497A" w:rsidRDefault="005B6CBF">
            <w:pPr>
              <w:rPr>
                <w:sz w:val="24"/>
                <w:szCs w:val="24"/>
              </w:rPr>
            </w:pPr>
            <w:r w:rsidRPr="007C497A">
              <w:rPr>
                <w:sz w:val="24"/>
                <w:szCs w:val="24"/>
              </w:rPr>
              <w:t xml:space="preserve">Cost </w:t>
            </w:r>
          </w:p>
        </w:tc>
        <w:tc>
          <w:tcPr>
            <w:tcW w:w="7461" w:type="dxa"/>
          </w:tcPr>
          <w:p w14:paraId="615020A8" w14:textId="30920A04" w:rsidR="005B6CBF" w:rsidRPr="00AE78E8" w:rsidRDefault="00C86005">
            <w:pPr>
              <w:rPr>
                <w:sz w:val="24"/>
                <w:szCs w:val="24"/>
              </w:rPr>
            </w:pPr>
            <w:r>
              <w:rPr>
                <w:sz w:val="24"/>
                <w:szCs w:val="24"/>
              </w:rPr>
              <w:t>Free</w:t>
            </w:r>
          </w:p>
        </w:tc>
      </w:tr>
      <w:tr w:rsidR="005B6CBF" w:rsidRPr="00BC021D" w14:paraId="1F7FA90E" w14:textId="77777777" w:rsidTr="005B6CBF">
        <w:tc>
          <w:tcPr>
            <w:tcW w:w="1555" w:type="dxa"/>
          </w:tcPr>
          <w:p w14:paraId="0F3FEA19" w14:textId="61164CB0" w:rsidR="005B6CBF" w:rsidRPr="007C497A" w:rsidRDefault="005B6CBF">
            <w:pPr>
              <w:rPr>
                <w:sz w:val="24"/>
                <w:szCs w:val="24"/>
              </w:rPr>
            </w:pPr>
            <w:r w:rsidRPr="007C497A">
              <w:rPr>
                <w:sz w:val="24"/>
                <w:szCs w:val="24"/>
              </w:rPr>
              <w:t>What it does</w:t>
            </w:r>
          </w:p>
        </w:tc>
        <w:tc>
          <w:tcPr>
            <w:tcW w:w="7461" w:type="dxa"/>
          </w:tcPr>
          <w:p w14:paraId="2204716A" w14:textId="4D4663EB" w:rsidR="00C67009" w:rsidRPr="008D0780" w:rsidRDefault="004E4C41" w:rsidP="008D0780">
            <w:pPr>
              <w:shd w:val="clear" w:color="auto" w:fill="FFFFFF"/>
              <w:spacing w:before="100" w:beforeAutospacing="1" w:after="150"/>
              <w:rPr>
                <w:rFonts w:eastAsia="Times New Roman" w:cs="Arial"/>
                <w:color w:val="1F1F1F"/>
                <w:sz w:val="24"/>
                <w:szCs w:val="24"/>
                <w:lang w:eastAsia="en-GB"/>
              </w:rPr>
            </w:pPr>
            <w:r w:rsidRPr="004E4C41">
              <w:rPr>
                <w:rFonts w:eastAsia="Times New Roman" w:cs="Arial"/>
                <w:color w:val="1F1F1F"/>
                <w:sz w:val="24"/>
                <w:szCs w:val="24"/>
                <w:lang w:eastAsia="en-GB"/>
              </w:rPr>
              <w:t>WAVE is a suite of evaluation tools that helps authors make their web content more accessible to individuals with disabilities.</w:t>
            </w:r>
          </w:p>
        </w:tc>
      </w:tr>
      <w:tr w:rsidR="005B6CBF" w:rsidRPr="00BC021D" w14:paraId="5BD9AB18" w14:textId="77777777" w:rsidTr="005B6CBF">
        <w:tc>
          <w:tcPr>
            <w:tcW w:w="1555" w:type="dxa"/>
          </w:tcPr>
          <w:p w14:paraId="7F8544BD" w14:textId="2E519AF7" w:rsidR="005B6CBF" w:rsidRPr="007C497A" w:rsidRDefault="005B6CBF">
            <w:pPr>
              <w:rPr>
                <w:sz w:val="24"/>
                <w:szCs w:val="24"/>
              </w:rPr>
            </w:pPr>
            <w:r w:rsidRPr="007C497A">
              <w:rPr>
                <w:sz w:val="24"/>
                <w:szCs w:val="24"/>
              </w:rPr>
              <w:t>Uses for ACL</w:t>
            </w:r>
          </w:p>
        </w:tc>
        <w:tc>
          <w:tcPr>
            <w:tcW w:w="7461" w:type="dxa"/>
          </w:tcPr>
          <w:p w14:paraId="36AB11E1" w14:textId="7CEC3E93" w:rsidR="00F47572" w:rsidRPr="007D5597" w:rsidRDefault="00F8019A" w:rsidP="00E10A0F">
            <w:pPr>
              <w:rPr>
                <w:sz w:val="24"/>
                <w:szCs w:val="24"/>
              </w:rPr>
            </w:pPr>
            <w:r w:rsidRPr="00F8019A">
              <w:rPr>
                <w:rFonts w:eastAsia="Times New Roman" w:cs="Arial"/>
                <w:color w:val="1F1F1F"/>
                <w:sz w:val="24"/>
                <w:szCs w:val="24"/>
                <w:lang w:eastAsia="en-GB"/>
              </w:rPr>
              <w:t xml:space="preserve">Adult Community Learning programs strive to be inclusive for all learners. </w:t>
            </w:r>
            <w:r>
              <w:rPr>
                <w:rFonts w:eastAsia="Times New Roman" w:cs="Arial"/>
                <w:color w:val="1F1F1F"/>
                <w:sz w:val="24"/>
                <w:szCs w:val="24"/>
                <w:lang w:eastAsia="en-GB"/>
              </w:rPr>
              <w:t>WAVE</w:t>
            </w:r>
            <w:r w:rsidRPr="00F8019A">
              <w:rPr>
                <w:rFonts w:eastAsia="Times New Roman" w:cs="Arial"/>
                <w:color w:val="1F1F1F"/>
                <w:sz w:val="24"/>
                <w:szCs w:val="24"/>
                <w:lang w:eastAsia="en-GB"/>
              </w:rPr>
              <w:t xml:space="preserve"> can be </w:t>
            </w:r>
            <w:r>
              <w:rPr>
                <w:rFonts w:eastAsia="Times New Roman" w:cs="Arial"/>
                <w:color w:val="1F1F1F"/>
                <w:sz w:val="24"/>
                <w:szCs w:val="24"/>
                <w:lang w:eastAsia="en-GB"/>
              </w:rPr>
              <w:t xml:space="preserve">a </w:t>
            </w:r>
            <w:r w:rsidRPr="00F8019A">
              <w:rPr>
                <w:rFonts w:eastAsia="Times New Roman" w:cs="Arial"/>
                <w:color w:val="1F1F1F"/>
                <w:sz w:val="24"/>
                <w:szCs w:val="24"/>
                <w:lang w:eastAsia="en-GB"/>
              </w:rPr>
              <w:t xml:space="preserve">valuable </w:t>
            </w:r>
            <w:r>
              <w:rPr>
                <w:rFonts w:eastAsia="Times New Roman" w:cs="Arial"/>
                <w:color w:val="1F1F1F"/>
                <w:sz w:val="24"/>
                <w:szCs w:val="24"/>
                <w:lang w:eastAsia="en-GB"/>
              </w:rPr>
              <w:t xml:space="preserve">tool </w:t>
            </w:r>
            <w:r w:rsidRPr="00F8019A">
              <w:rPr>
                <w:rFonts w:eastAsia="Times New Roman" w:cs="Arial"/>
                <w:color w:val="1F1F1F"/>
                <w:sz w:val="24"/>
                <w:szCs w:val="24"/>
                <w:lang w:eastAsia="en-GB"/>
              </w:rPr>
              <w:t xml:space="preserve">in achieving this goal. </w:t>
            </w:r>
            <w:r>
              <w:rPr>
                <w:rFonts w:eastAsia="Times New Roman" w:cs="Arial"/>
                <w:color w:val="1F1F1F"/>
                <w:sz w:val="24"/>
                <w:szCs w:val="24"/>
                <w:lang w:eastAsia="en-GB"/>
              </w:rPr>
              <w:t>It</w:t>
            </w:r>
            <w:r w:rsidRPr="00F8019A">
              <w:rPr>
                <w:rFonts w:eastAsia="Times New Roman" w:cs="Arial"/>
                <w:color w:val="1F1F1F"/>
                <w:sz w:val="24"/>
                <w:szCs w:val="24"/>
                <w:lang w:eastAsia="en-GB"/>
              </w:rPr>
              <w:t xml:space="preserve"> help</w:t>
            </w:r>
            <w:r>
              <w:rPr>
                <w:rFonts w:eastAsia="Times New Roman" w:cs="Arial"/>
                <w:color w:val="1F1F1F"/>
                <w:sz w:val="24"/>
                <w:szCs w:val="24"/>
                <w:lang w:eastAsia="en-GB"/>
              </w:rPr>
              <w:t>s</w:t>
            </w:r>
            <w:r w:rsidRPr="00F8019A">
              <w:rPr>
                <w:rFonts w:eastAsia="Times New Roman" w:cs="Arial"/>
                <w:color w:val="1F1F1F"/>
                <w:sz w:val="24"/>
                <w:szCs w:val="24"/>
                <w:lang w:eastAsia="en-GB"/>
              </w:rPr>
              <w:t xml:space="preserve"> identify and address barriers on websites and learning platforms used by the </w:t>
            </w:r>
            <w:r>
              <w:rPr>
                <w:rFonts w:eastAsia="Times New Roman" w:cs="Arial"/>
                <w:color w:val="1F1F1F"/>
                <w:sz w:val="24"/>
                <w:szCs w:val="24"/>
                <w:lang w:eastAsia="en-GB"/>
              </w:rPr>
              <w:t>course</w:t>
            </w:r>
            <w:r w:rsidRPr="00F8019A">
              <w:rPr>
                <w:rFonts w:eastAsia="Times New Roman" w:cs="Arial"/>
                <w:color w:val="1F1F1F"/>
                <w:sz w:val="24"/>
                <w:szCs w:val="24"/>
                <w:lang w:eastAsia="en-GB"/>
              </w:rPr>
              <w:t>. By utili</w:t>
            </w:r>
            <w:r>
              <w:rPr>
                <w:rFonts w:eastAsia="Times New Roman" w:cs="Arial"/>
                <w:color w:val="1F1F1F"/>
                <w:sz w:val="24"/>
                <w:szCs w:val="24"/>
                <w:lang w:eastAsia="en-GB"/>
              </w:rPr>
              <w:t>s</w:t>
            </w:r>
            <w:r w:rsidRPr="00F8019A">
              <w:rPr>
                <w:rFonts w:eastAsia="Times New Roman" w:cs="Arial"/>
                <w:color w:val="1F1F1F"/>
                <w:sz w:val="24"/>
                <w:szCs w:val="24"/>
                <w:lang w:eastAsia="en-GB"/>
              </w:rPr>
              <w:t>ing these tools, instructors and administrators can ensure course materials, registration forms, and other online resources are accessible for individuals with visual impairments, learning disabilities, or those using screen readers. This creates a more level playing field and empowers all learners to participate fully in the program's offerings.</w:t>
            </w:r>
          </w:p>
        </w:tc>
      </w:tr>
      <w:tr w:rsidR="005B6CBF" w:rsidRPr="00BC021D" w14:paraId="68CC1FC5" w14:textId="77777777" w:rsidTr="005B6CBF">
        <w:tc>
          <w:tcPr>
            <w:tcW w:w="1555" w:type="dxa"/>
          </w:tcPr>
          <w:p w14:paraId="4885A710" w14:textId="5E90A4C7" w:rsidR="005B6CBF" w:rsidRPr="007C497A" w:rsidRDefault="005B6CBF">
            <w:pPr>
              <w:rPr>
                <w:sz w:val="24"/>
                <w:szCs w:val="24"/>
              </w:rPr>
            </w:pPr>
            <w:r w:rsidRPr="007C497A">
              <w:rPr>
                <w:sz w:val="24"/>
                <w:szCs w:val="24"/>
              </w:rPr>
              <w:t>Benefits</w:t>
            </w:r>
          </w:p>
        </w:tc>
        <w:tc>
          <w:tcPr>
            <w:tcW w:w="7461" w:type="dxa"/>
          </w:tcPr>
          <w:p w14:paraId="23E13812" w14:textId="15F02CC3" w:rsidR="000A1CFC" w:rsidRPr="000A1CFC" w:rsidRDefault="000A1CFC" w:rsidP="000A1CFC">
            <w:pPr>
              <w:shd w:val="clear" w:color="auto" w:fill="FFFFFF"/>
              <w:spacing w:before="100" w:beforeAutospacing="1" w:after="150" w:line="240" w:lineRule="auto"/>
              <w:rPr>
                <w:rFonts w:eastAsia="Times New Roman" w:cs="Arial"/>
                <w:b/>
                <w:bCs/>
                <w:color w:val="1F1F1F"/>
                <w:sz w:val="24"/>
                <w:szCs w:val="24"/>
                <w:lang w:eastAsia="en-GB"/>
              </w:rPr>
            </w:pPr>
            <w:r w:rsidRPr="000A1CFC">
              <w:rPr>
                <w:rFonts w:eastAsia="Times New Roman" w:cs="Arial"/>
                <w:b/>
                <w:bCs/>
                <w:color w:val="1F1F1F"/>
                <w:sz w:val="24"/>
                <w:szCs w:val="24"/>
                <w:lang w:eastAsia="en-GB"/>
              </w:rPr>
              <w:t xml:space="preserve">Enhanced User Experience: </w:t>
            </w:r>
            <w:r w:rsidRPr="000A1CFC">
              <w:rPr>
                <w:rFonts w:eastAsia="Times New Roman" w:cs="Arial"/>
                <w:color w:val="1F1F1F"/>
                <w:sz w:val="24"/>
                <w:szCs w:val="24"/>
                <w:lang w:eastAsia="en-GB"/>
              </w:rPr>
              <w:t>These tools help identify and fix website issues that can hinder anyone's experience, not just those with disabilities. This can include unclear navigation, confusing layouts, or missing information labels. By creating a smoother experience, you improve user satisfaction for everyone.</w:t>
            </w:r>
          </w:p>
          <w:p w14:paraId="74C25C6E" w14:textId="62522CBF" w:rsidR="000A1CFC" w:rsidRPr="000A1CFC" w:rsidRDefault="000A1CFC" w:rsidP="000A1CFC">
            <w:pPr>
              <w:shd w:val="clear" w:color="auto" w:fill="FFFFFF"/>
              <w:spacing w:before="100" w:beforeAutospacing="1" w:after="150" w:line="240" w:lineRule="auto"/>
              <w:rPr>
                <w:rFonts w:eastAsia="Times New Roman" w:cs="Arial"/>
                <w:b/>
                <w:bCs/>
                <w:color w:val="1F1F1F"/>
                <w:sz w:val="24"/>
                <w:szCs w:val="24"/>
                <w:lang w:eastAsia="en-GB"/>
              </w:rPr>
            </w:pPr>
            <w:r w:rsidRPr="000A1CFC">
              <w:rPr>
                <w:rFonts w:eastAsia="Times New Roman" w:cs="Arial"/>
                <w:b/>
                <w:bCs/>
                <w:color w:val="1F1F1F"/>
                <w:sz w:val="24"/>
                <w:szCs w:val="24"/>
                <w:lang w:eastAsia="en-GB"/>
              </w:rPr>
              <w:t xml:space="preserve">Compliance with Legal Requirements: </w:t>
            </w:r>
            <w:r w:rsidRPr="000A1CFC">
              <w:rPr>
                <w:rFonts w:eastAsia="Times New Roman" w:cs="Arial"/>
                <w:color w:val="1F1F1F"/>
                <w:sz w:val="24"/>
                <w:szCs w:val="24"/>
                <w:lang w:eastAsia="en-GB"/>
              </w:rPr>
              <w:t>Many British organisations have legal obligations to ensure their websites</w:t>
            </w:r>
            <w:r w:rsidR="00956F91">
              <w:rPr>
                <w:rFonts w:eastAsia="Times New Roman" w:cs="Arial"/>
                <w:color w:val="1F1F1F"/>
                <w:sz w:val="24"/>
                <w:szCs w:val="24"/>
                <w:lang w:eastAsia="en-GB"/>
              </w:rPr>
              <w:t>/resources</w:t>
            </w:r>
            <w:r w:rsidRPr="000A1CFC">
              <w:rPr>
                <w:rFonts w:eastAsia="Times New Roman" w:cs="Arial"/>
                <w:color w:val="1F1F1F"/>
                <w:sz w:val="24"/>
                <w:szCs w:val="24"/>
                <w:lang w:eastAsia="en-GB"/>
              </w:rPr>
              <w:t xml:space="preserve"> are accessible under the Equality Act 2010. Web Accessibility Evaluation Tools help identify potential areas of non-compliance, allowing you to proactively address them.</w:t>
            </w:r>
          </w:p>
          <w:p w14:paraId="22923233" w14:textId="3F275758" w:rsidR="000A1CFC" w:rsidRPr="000A1CFC" w:rsidRDefault="000A1CFC" w:rsidP="000A1CFC">
            <w:pPr>
              <w:shd w:val="clear" w:color="auto" w:fill="FFFFFF"/>
              <w:spacing w:before="100" w:beforeAutospacing="1" w:after="150" w:line="240" w:lineRule="auto"/>
              <w:rPr>
                <w:rFonts w:eastAsia="Times New Roman" w:cs="Arial"/>
                <w:b/>
                <w:bCs/>
                <w:color w:val="1F1F1F"/>
                <w:sz w:val="24"/>
                <w:szCs w:val="24"/>
                <w:lang w:eastAsia="en-GB"/>
              </w:rPr>
            </w:pPr>
            <w:r w:rsidRPr="000A1CFC">
              <w:rPr>
                <w:rFonts w:eastAsia="Times New Roman" w:cs="Arial"/>
                <w:b/>
                <w:bCs/>
                <w:color w:val="1F1F1F"/>
                <w:sz w:val="24"/>
                <w:szCs w:val="24"/>
                <w:lang w:eastAsia="en-GB"/>
              </w:rPr>
              <w:t xml:space="preserve">Expanded Audience Reach: </w:t>
            </w:r>
            <w:r w:rsidRPr="000A1CFC">
              <w:rPr>
                <w:rFonts w:eastAsia="Times New Roman" w:cs="Arial"/>
                <w:color w:val="1F1F1F"/>
                <w:sz w:val="24"/>
                <w:szCs w:val="24"/>
                <w:lang w:eastAsia="en-GB"/>
              </w:rPr>
              <w:t>By removing accessibility barriers, you open your resources to a wider audience. This includes people with disabilities, those using assistive technologies, or even users with temporary limitations like a broken arm using voice control.</w:t>
            </w:r>
          </w:p>
          <w:p w14:paraId="4A66E781" w14:textId="35361611" w:rsidR="00C67009" w:rsidRPr="004E4C41" w:rsidRDefault="000A1CFC" w:rsidP="000A1CFC">
            <w:pPr>
              <w:shd w:val="clear" w:color="auto" w:fill="FFFFFF"/>
              <w:spacing w:before="100" w:beforeAutospacing="1" w:after="150"/>
              <w:rPr>
                <w:rFonts w:eastAsia="Times New Roman" w:cs="Arial"/>
                <w:b/>
                <w:bCs/>
                <w:color w:val="1F1F1F"/>
                <w:sz w:val="24"/>
                <w:szCs w:val="24"/>
                <w:highlight w:val="yellow"/>
                <w:lang w:eastAsia="en-GB"/>
              </w:rPr>
            </w:pPr>
            <w:r w:rsidRPr="000A1CFC">
              <w:rPr>
                <w:rFonts w:eastAsia="Times New Roman" w:cs="Arial"/>
                <w:b/>
                <w:bCs/>
                <w:color w:val="1F1F1F"/>
                <w:sz w:val="24"/>
                <w:szCs w:val="24"/>
                <w:lang w:eastAsia="en-GB"/>
              </w:rPr>
              <w:t xml:space="preserve">Cost-Effectiveness: </w:t>
            </w:r>
            <w:r w:rsidRPr="000A1CFC">
              <w:rPr>
                <w:rFonts w:eastAsia="Times New Roman" w:cs="Arial"/>
                <w:color w:val="1F1F1F"/>
                <w:sz w:val="24"/>
                <w:szCs w:val="24"/>
                <w:lang w:eastAsia="en-GB"/>
              </w:rPr>
              <w:t>Addressing accessibility issues early on is far more cost-effective than fixing them after your website</w:t>
            </w:r>
            <w:r w:rsidR="00956F91">
              <w:rPr>
                <w:rFonts w:eastAsia="Times New Roman" w:cs="Arial"/>
                <w:color w:val="1F1F1F"/>
                <w:sz w:val="24"/>
                <w:szCs w:val="24"/>
                <w:lang w:eastAsia="en-GB"/>
              </w:rPr>
              <w:t>/resources</w:t>
            </w:r>
            <w:r w:rsidRPr="000A1CFC">
              <w:rPr>
                <w:rFonts w:eastAsia="Times New Roman" w:cs="Arial"/>
                <w:color w:val="1F1F1F"/>
                <w:sz w:val="24"/>
                <w:szCs w:val="24"/>
                <w:lang w:eastAsia="en-GB"/>
              </w:rPr>
              <w:t xml:space="preserve"> </w:t>
            </w:r>
            <w:r w:rsidR="00956F91">
              <w:rPr>
                <w:rFonts w:eastAsia="Times New Roman" w:cs="Arial"/>
                <w:color w:val="1F1F1F"/>
                <w:sz w:val="24"/>
                <w:szCs w:val="24"/>
                <w:lang w:eastAsia="en-GB"/>
              </w:rPr>
              <w:t>are</w:t>
            </w:r>
            <w:r w:rsidRPr="000A1CFC">
              <w:rPr>
                <w:rFonts w:eastAsia="Times New Roman" w:cs="Arial"/>
                <w:color w:val="1F1F1F"/>
                <w:sz w:val="24"/>
                <w:szCs w:val="24"/>
                <w:lang w:eastAsia="en-GB"/>
              </w:rPr>
              <w:t xml:space="preserve"> </w:t>
            </w:r>
            <w:r w:rsidR="00956F91">
              <w:rPr>
                <w:rFonts w:eastAsia="Times New Roman" w:cs="Arial"/>
                <w:color w:val="1F1F1F"/>
                <w:sz w:val="24"/>
                <w:szCs w:val="24"/>
                <w:lang w:eastAsia="en-GB"/>
              </w:rPr>
              <w:t>created</w:t>
            </w:r>
            <w:r w:rsidRPr="000A1CFC">
              <w:rPr>
                <w:rFonts w:eastAsia="Times New Roman" w:cs="Arial"/>
                <w:color w:val="1F1F1F"/>
                <w:sz w:val="24"/>
                <w:szCs w:val="24"/>
                <w:lang w:eastAsia="en-GB"/>
              </w:rPr>
              <w:t>. Web Accessibility Evaluation Tools can help you catch problems early in the development process, saving time in the long run.</w:t>
            </w:r>
          </w:p>
        </w:tc>
      </w:tr>
      <w:tr w:rsidR="005B6CBF" w:rsidRPr="00BC021D" w14:paraId="00BFBCB2" w14:textId="77777777" w:rsidTr="005B6CBF">
        <w:tc>
          <w:tcPr>
            <w:tcW w:w="1555" w:type="dxa"/>
          </w:tcPr>
          <w:p w14:paraId="79EBB595" w14:textId="7BE256BC" w:rsidR="005B6CBF" w:rsidRPr="007C497A" w:rsidRDefault="005B6CBF">
            <w:pPr>
              <w:rPr>
                <w:sz w:val="24"/>
                <w:szCs w:val="24"/>
              </w:rPr>
            </w:pPr>
            <w:r w:rsidRPr="007C497A">
              <w:rPr>
                <w:sz w:val="24"/>
                <w:szCs w:val="24"/>
              </w:rPr>
              <w:t>Alternatives</w:t>
            </w:r>
          </w:p>
        </w:tc>
        <w:tc>
          <w:tcPr>
            <w:tcW w:w="7461" w:type="dxa"/>
          </w:tcPr>
          <w:p w14:paraId="2E54F961" w14:textId="3AD0FDA0" w:rsidR="00E90AE2" w:rsidRPr="00E90AE2" w:rsidRDefault="00E90AE2" w:rsidP="00E90AE2">
            <w:pPr>
              <w:spacing w:after="0" w:line="240" w:lineRule="auto"/>
              <w:rPr>
                <w:sz w:val="24"/>
                <w:szCs w:val="24"/>
              </w:rPr>
            </w:pPr>
            <w:r w:rsidRPr="008407FC">
              <w:rPr>
                <w:b/>
                <w:bCs/>
                <w:sz w:val="24"/>
                <w:szCs w:val="24"/>
              </w:rPr>
              <w:t>Colour Contrast Checker</w:t>
            </w:r>
            <w:r w:rsidRPr="00E90AE2">
              <w:rPr>
                <w:sz w:val="24"/>
                <w:szCs w:val="24"/>
              </w:rPr>
              <w:t xml:space="preserve">: While not a comprehensive tool, this online checker from </w:t>
            </w:r>
            <w:proofErr w:type="spellStart"/>
            <w:r w:rsidRPr="00E90AE2">
              <w:rPr>
                <w:sz w:val="24"/>
                <w:szCs w:val="24"/>
              </w:rPr>
              <w:t>WebAIM</w:t>
            </w:r>
            <w:proofErr w:type="spellEnd"/>
            <w:r w:rsidRPr="00E90AE2">
              <w:rPr>
                <w:sz w:val="24"/>
                <w:szCs w:val="24"/>
              </w:rPr>
              <w:t xml:space="preserve"> is a handy resource for ensuring sufficient colo</w:t>
            </w:r>
            <w:r w:rsidR="00EB30C2">
              <w:rPr>
                <w:sz w:val="24"/>
                <w:szCs w:val="24"/>
              </w:rPr>
              <w:t>u</w:t>
            </w:r>
            <w:r w:rsidRPr="00E90AE2">
              <w:rPr>
                <w:sz w:val="24"/>
                <w:szCs w:val="24"/>
              </w:rPr>
              <w:t>r contrast between text and background. It's crucial for readability, especially for users with visual impairments.</w:t>
            </w:r>
          </w:p>
          <w:p w14:paraId="0CEFCAAB" w14:textId="77777777" w:rsidR="00E90AE2" w:rsidRPr="00E90AE2" w:rsidRDefault="00E90AE2" w:rsidP="00E90AE2">
            <w:pPr>
              <w:spacing w:after="0" w:line="240" w:lineRule="auto"/>
              <w:rPr>
                <w:sz w:val="24"/>
                <w:szCs w:val="24"/>
              </w:rPr>
            </w:pPr>
          </w:p>
          <w:p w14:paraId="663EC016" w14:textId="2AE0E01C" w:rsidR="00E90AE2" w:rsidRPr="00E90AE2" w:rsidRDefault="00E90AE2" w:rsidP="00E90AE2">
            <w:pPr>
              <w:spacing w:after="0" w:line="240" w:lineRule="auto"/>
              <w:rPr>
                <w:sz w:val="24"/>
                <w:szCs w:val="24"/>
              </w:rPr>
            </w:pPr>
            <w:proofErr w:type="spellStart"/>
            <w:r w:rsidRPr="008407FC">
              <w:rPr>
                <w:b/>
                <w:bCs/>
                <w:sz w:val="24"/>
                <w:szCs w:val="24"/>
              </w:rPr>
              <w:lastRenderedPageBreak/>
              <w:t>HeadingsMap</w:t>
            </w:r>
            <w:proofErr w:type="spellEnd"/>
            <w:r w:rsidRPr="00E90AE2">
              <w:rPr>
                <w:sz w:val="24"/>
                <w:szCs w:val="24"/>
              </w:rPr>
              <w:t>: This online tool analy</w:t>
            </w:r>
            <w:r w:rsidR="00EB30C2">
              <w:rPr>
                <w:sz w:val="24"/>
                <w:szCs w:val="24"/>
              </w:rPr>
              <w:t>s</w:t>
            </w:r>
            <w:r w:rsidRPr="00E90AE2">
              <w:rPr>
                <w:sz w:val="24"/>
                <w:szCs w:val="24"/>
              </w:rPr>
              <w:t>es the heading structure of your webpage. Proper heading hierarchy is essential for screen reader users to navigate content effectively.</w:t>
            </w:r>
          </w:p>
          <w:p w14:paraId="105BEE27" w14:textId="77777777" w:rsidR="00E90AE2" w:rsidRPr="00E90AE2" w:rsidRDefault="00E90AE2" w:rsidP="00E90AE2">
            <w:pPr>
              <w:spacing w:after="0" w:line="240" w:lineRule="auto"/>
              <w:rPr>
                <w:sz w:val="24"/>
                <w:szCs w:val="24"/>
              </w:rPr>
            </w:pPr>
          </w:p>
          <w:p w14:paraId="62A22058" w14:textId="04FEEE3C" w:rsidR="003D0E0C" w:rsidRPr="004E4C41" w:rsidRDefault="00E90AE2" w:rsidP="00E90AE2">
            <w:pPr>
              <w:rPr>
                <w:sz w:val="24"/>
                <w:szCs w:val="24"/>
                <w:highlight w:val="yellow"/>
              </w:rPr>
            </w:pPr>
            <w:r w:rsidRPr="008407FC">
              <w:rPr>
                <w:b/>
                <w:bCs/>
                <w:sz w:val="24"/>
                <w:szCs w:val="24"/>
              </w:rPr>
              <w:t>Manual Testing</w:t>
            </w:r>
            <w:r w:rsidRPr="00E90AE2">
              <w:rPr>
                <w:sz w:val="24"/>
                <w:szCs w:val="24"/>
              </w:rPr>
              <w:t>: While automated tools are valuable, accessibility testing also benefits from manual simulations using screen readers and keyboard navigation. This helps identify issues automated tools might miss.</w:t>
            </w:r>
          </w:p>
        </w:tc>
      </w:tr>
      <w:tr w:rsidR="005B6CBF" w:rsidRPr="00D27B68" w14:paraId="7F514333" w14:textId="77777777" w:rsidTr="005B6CBF">
        <w:tc>
          <w:tcPr>
            <w:tcW w:w="1555" w:type="dxa"/>
          </w:tcPr>
          <w:p w14:paraId="56B69B48" w14:textId="10207C4C" w:rsidR="005B6CBF" w:rsidRPr="007C497A" w:rsidRDefault="00B72F03">
            <w:pPr>
              <w:rPr>
                <w:sz w:val="24"/>
                <w:szCs w:val="24"/>
              </w:rPr>
            </w:pPr>
            <w:r w:rsidRPr="007C497A">
              <w:rPr>
                <w:sz w:val="24"/>
                <w:szCs w:val="24"/>
              </w:rPr>
              <w:lastRenderedPageBreak/>
              <w:t>Devices it works on</w:t>
            </w:r>
          </w:p>
        </w:tc>
        <w:tc>
          <w:tcPr>
            <w:tcW w:w="7461" w:type="dxa"/>
          </w:tcPr>
          <w:p w14:paraId="1E60A298" w14:textId="0BEBA71F" w:rsidR="00754A74" w:rsidRPr="00AE78E8" w:rsidRDefault="00181795" w:rsidP="007B647F">
            <w:pPr>
              <w:rPr>
                <w:sz w:val="24"/>
                <w:szCs w:val="24"/>
              </w:rPr>
            </w:pPr>
            <w:r>
              <w:rPr>
                <w:sz w:val="24"/>
                <w:szCs w:val="24"/>
              </w:rPr>
              <w:t>Internet Browsers</w:t>
            </w:r>
          </w:p>
          <w:p w14:paraId="366FEFDA" w14:textId="0226CA0E" w:rsidR="001A1713" w:rsidRPr="00AE78E8" w:rsidRDefault="001A1713" w:rsidP="007B647F">
            <w:pPr>
              <w:rPr>
                <w:sz w:val="24"/>
                <w:szCs w:val="24"/>
              </w:rPr>
            </w:pPr>
          </w:p>
        </w:tc>
      </w:tr>
    </w:tbl>
    <w:p w14:paraId="704E0E87" w14:textId="7B6148D1" w:rsidR="002F6D6C" w:rsidRPr="000B4BDF" w:rsidRDefault="002F6D6C" w:rsidP="000B4BDF"/>
    <w:sectPr w:rsidR="002F6D6C" w:rsidRPr="000B4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06BBC"/>
    <w:multiLevelType w:val="multilevel"/>
    <w:tmpl w:val="8F4E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21836"/>
    <w:multiLevelType w:val="hybridMultilevel"/>
    <w:tmpl w:val="1C1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E311E7"/>
    <w:multiLevelType w:val="hybridMultilevel"/>
    <w:tmpl w:val="E5DE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8299">
    <w:abstractNumId w:val="1"/>
  </w:num>
  <w:num w:numId="2" w16cid:durableId="1746608011">
    <w:abstractNumId w:val="2"/>
  </w:num>
  <w:num w:numId="3" w16cid:durableId="1541668954">
    <w:abstractNumId w:val="0"/>
  </w:num>
  <w:num w:numId="4" w16cid:durableId="1084494046">
    <w:abstractNumId w:val="3"/>
  </w:num>
  <w:num w:numId="5" w16cid:durableId="271791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17CB8"/>
    <w:rsid w:val="000458EE"/>
    <w:rsid w:val="00060DC5"/>
    <w:rsid w:val="000634AF"/>
    <w:rsid w:val="000660EF"/>
    <w:rsid w:val="000917A2"/>
    <w:rsid w:val="000A1CFC"/>
    <w:rsid w:val="000A451F"/>
    <w:rsid w:val="000B4BDF"/>
    <w:rsid w:val="000C4BD7"/>
    <w:rsid w:val="000D0B1A"/>
    <w:rsid w:val="000D18A4"/>
    <w:rsid w:val="000D195B"/>
    <w:rsid w:val="000E585C"/>
    <w:rsid w:val="000E6360"/>
    <w:rsid w:val="001035C2"/>
    <w:rsid w:val="00112EA6"/>
    <w:rsid w:val="00115313"/>
    <w:rsid w:val="00125EE5"/>
    <w:rsid w:val="001304F1"/>
    <w:rsid w:val="00147F0C"/>
    <w:rsid w:val="00156FC0"/>
    <w:rsid w:val="0017191F"/>
    <w:rsid w:val="00181795"/>
    <w:rsid w:val="001A1713"/>
    <w:rsid w:val="001A6F11"/>
    <w:rsid w:val="001D13D8"/>
    <w:rsid w:val="001D7E5D"/>
    <w:rsid w:val="001F510D"/>
    <w:rsid w:val="002074BB"/>
    <w:rsid w:val="00207FB0"/>
    <w:rsid w:val="00210C94"/>
    <w:rsid w:val="00217464"/>
    <w:rsid w:val="00235C47"/>
    <w:rsid w:val="00236918"/>
    <w:rsid w:val="00276097"/>
    <w:rsid w:val="0028071B"/>
    <w:rsid w:val="002A2CED"/>
    <w:rsid w:val="002A765E"/>
    <w:rsid w:val="002C2A90"/>
    <w:rsid w:val="002E78E6"/>
    <w:rsid w:val="002F6D6C"/>
    <w:rsid w:val="0031091B"/>
    <w:rsid w:val="00317B18"/>
    <w:rsid w:val="00345F59"/>
    <w:rsid w:val="00357B5F"/>
    <w:rsid w:val="003644C6"/>
    <w:rsid w:val="00387C5C"/>
    <w:rsid w:val="003A6DD1"/>
    <w:rsid w:val="003C6FF8"/>
    <w:rsid w:val="003D0E0C"/>
    <w:rsid w:val="003F6813"/>
    <w:rsid w:val="004159DE"/>
    <w:rsid w:val="00443F3A"/>
    <w:rsid w:val="004B5B94"/>
    <w:rsid w:val="004D39DF"/>
    <w:rsid w:val="004E4C41"/>
    <w:rsid w:val="00501C0C"/>
    <w:rsid w:val="005039DC"/>
    <w:rsid w:val="0050646F"/>
    <w:rsid w:val="0052493E"/>
    <w:rsid w:val="00551F6C"/>
    <w:rsid w:val="00556F0A"/>
    <w:rsid w:val="0058517A"/>
    <w:rsid w:val="00587DF2"/>
    <w:rsid w:val="0059348A"/>
    <w:rsid w:val="005B460A"/>
    <w:rsid w:val="005B6CBF"/>
    <w:rsid w:val="005D3F7C"/>
    <w:rsid w:val="005D5F10"/>
    <w:rsid w:val="005D6F4D"/>
    <w:rsid w:val="005E1363"/>
    <w:rsid w:val="00611145"/>
    <w:rsid w:val="00622351"/>
    <w:rsid w:val="00655D88"/>
    <w:rsid w:val="006A526E"/>
    <w:rsid w:val="006D07BB"/>
    <w:rsid w:val="006E47BE"/>
    <w:rsid w:val="007142BD"/>
    <w:rsid w:val="00725C92"/>
    <w:rsid w:val="007371C8"/>
    <w:rsid w:val="007374DA"/>
    <w:rsid w:val="007403CF"/>
    <w:rsid w:val="00741669"/>
    <w:rsid w:val="00745F21"/>
    <w:rsid w:val="00754A74"/>
    <w:rsid w:val="00774A75"/>
    <w:rsid w:val="00781945"/>
    <w:rsid w:val="00790A6B"/>
    <w:rsid w:val="00791C51"/>
    <w:rsid w:val="007B647F"/>
    <w:rsid w:val="007C497A"/>
    <w:rsid w:val="007D5597"/>
    <w:rsid w:val="007F2F78"/>
    <w:rsid w:val="008407FC"/>
    <w:rsid w:val="00850A49"/>
    <w:rsid w:val="008A199F"/>
    <w:rsid w:val="008C7537"/>
    <w:rsid w:val="008D0780"/>
    <w:rsid w:val="008D7F75"/>
    <w:rsid w:val="008E08B5"/>
    <w:rsid w:val="009250F1"/>
    <w:rsid w:val="00956F91"/>
    <w:rsid w:val="00974724"/>
    <w:rsid w:val="00997BFD"/>
    <w:rsid w:val="009A1B03"/>
    <w:rsid w:val="009B1524"/>
    <w:rsid w:val="009C0EDA"/>
    <w:rsid w:val="009C69DB"/>
    <w:rsid w:val="009D49E6"/>
    <w:rsid w:val="009F1727"/>
    <w:rsid w:val="009F5A40"/>
    <w:rsid w:val="00A10585"/>
    <w:rsid w:val="00A13E7C"/>
    <w:rsid w:val="00A22838"/>
    <w:rsid w:val="00A22EFC"/>
    <w:rsid w:val="00A56FAA"/>
    <w:rsid w:val="00A62DAC"/>
    <w:rsid w:val="00A73CFE"/>
    <w:rsid w:val="00AA1812"/>
    <w:rsid w:val="00AA540E"/>
    <w:rsid w:val="00AE0A80"/>
    <w:rsid w:val="00AE78E8"/>
    <w:rsid w:val="00AF5795"/>
    <w:rsid w:val="00B478FE"/>
    <w:rsid w:val="00B5223B"/>
    <w:rsid w:val="00B56011"/>
    <w:rsid w:val="00B72F03"/>
    <w:rsid w:val="00B82183"/>
    <w:rsid w:val="00B859CB"/>
    <w:rsid w:val="00B85FC9"/>
    <w:rsid w:val="00B92915"/>
    <w:rsid w:val="00BA13E6"/>
    <w:rsid w:val="00BA33F1"/>
    <w:rsid w:val="00BC021D"/>
    <w:rsid w:val="00C0554D"/>
    <w:rsid w:val="00C4628E"/>
    <w:rsid w:val="00C64095"/>
    <w:rsid w:val="00C67009"/>
    <w:rsid w:val="00C727D5"/>
    <w:rsid w:val="00C81957"/>
    <w:rsid w:val="00C86005"/>
    <w:rsid w:val="00CC2576"/>
    <w:rsid w:val="00CC59F5"/>
    <w:rsid w:val="00CD23B8"/>
    <w:rsid w:val="00CD3F7E"/>
    <w:rsid w:val="00CD632C"/>
    <w:rsid w:val="00CF1F41"/>
    <w:rsid w:val="00CF538C"/>
    <w:rsid w:val="00CF69C6"/>
    <w:rsid w:val="00D02276"/>
    <w:rsid w:val="00D060B8"/>
    <w:rsid w:val="00D27B68"/>
    <w:rsid w:val="00D307C3"/>
    <w:rsid w:val="00D73BF2"/>
    <w:rsid w:val="00D76244"/>
    <w:rsid w:val="00D8124A"/>
    <w:rsid w:val="00DB65ED"/>
    <w:rsid w:val="00DD25F9"/>
    <w:rsid w:val="00DD4336"/>
    <w:rsid w:val="00E10A0F"/>
    <w:rsid w:val="00E3000B"/>
    <w:rsid w:val="00E37BA3"/>
    <w:rsid w:val="00E37C48"/>
    <w:rsid w:val="00E420A8"/>
    <w:rsid w:val="00E45B57"/>
    <w:rsid w:val="00E529C8"/>
    <w:rsid w:val="00E54079"/>
    <w:rsid w:val="00E70006"/>
    <w:rsid w:val="00E851A7"/>
    <w:rsid w:val="00E85C47"/>
    <w:rsid w:val="00E90AE2"/>
    <w:rsid w:val="00EA3A03"/>
    <w:rsid w:val="00EA44C3"/>
    <w:rsid w:val="00EB30C2"/>
    <w:rsid w:val="00EB56BB"/>
    <w:rsid w:val="00EC4441"/>
    <w:rsid w:val="00ED2064"/>
    <w:rsid w:val="00EF009A"/>
    <w:rsid w:val="00F02B00"/>
    <w:rsid w:val="00F11EAE"/>
    <w:rsid w:val="00F25876"/>
    <w:rsid w:val="00F26DE7"/>
    <w:rsid w:val="00F3176C"/>
    <w:rsid w:val="00F35D84"/>
    <w:rsid w:val="00F365E2"/>
    <w:rsid w:val="00F466E5"/>
    <w:rsid w:val="00F47032"/>
    <w:rsid w:val="00F47572"/>
    <w:rsid w:val="00F47FC6"/>
    <w:rsid w:val="00F56250"/>
    <w:rsid w:val="00F62282"/>
    <w:rsid w:val="00F77A47"/>
    <w:rsid w:val="00F8019A"/>
    <w:rsid w:val="00FA7953"/>
    <w:rsid w:val="00FB48A1"/>
    <w:rsid w:val="00FC1539"/>
    <w:rsid w:val="00FC7D3F"/>
    <w:rsid w:val="00FD34E7"/>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80"/>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customStyle="1" w:styleId="time">
    <w:name w:val="time"/>
    <w:basedOn w:val="DefaultParagraphFont"/>
    <w:rsid w:val="00210C94"/>
  </w:style>
  <w:style w:type="paragraph" w:customStyle="1" w:styleId="Title1">
    <w:name w:val="Title1"/>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fo">
    <w:name w:val="info"/>
    <w:basedOn w:val="Normal"/>
    <w:rsid w:val="00210C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174148137">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683364847">
      <w:bodyDiv w:val="1"/>
      <w:marLeft w:val="0"/>
      <w:marRight w:val="0"/>
      <w:marTop w:val="0"/>
      <w:marBottom w:val="0"/>
      <w:divBdr>
        <w:top w:val="none" w:sz="0" w:space="0" w:color="auto"/>
        <w:left w:val="none" w:sz="0" w:space="0" w:color="auto"/>
        <w:bottom w:val="none" w:sz="0" w:space="0" w:color="auto"/>
        <w:right w:val="none" w:sz="0" w:space="0" w:color="auto"/>
      </w:divBdr>
    </w:div>
    <w:div w:id="705375661">
      <w:bodyDiv w:val="1"/>
      <w:marLeft w:val="0"/>
      <w:marRight w:val="0"/>
      <w:marTop w:val="0"/>
      <w:marBottom w:val="0"/>
      <w:divBdr>
        <w:top w:val="none" w:sz="0" w:space="0" w:color="auto"/>
        <w:left w:val="none" w:sz="0" w:space="0" w:color="auto"/>
        <w:bottom w:val="none" w:sz="0" w:space="0" w:color="auto"/>
        <w:right w:val="none" w:sz="0" w:space="0" w:color="auto"/>
      </w:divBdr>
    </w:div>
    <w:div w:id="887297223">
      <w:bodyDiv w:val="1"/>
      <w:marLeft w:val="0"/>
      <w:marRight w:val="0"/>
      <w:marTop w:val="0"/>
      <w:marBottom w:val="0"/>
      <w:divBdr>
        <w:top w:val="none" w:sz="0" w:space="0" w:color="auto"/>
        <w:left w:val="none" w:sz="0" w:space="0" w:color="auto"/>
        <w:bottom w:val="none" w:sz="0" w:space="0" w:color="auto"/>
        <w:right w:val="none" w:sz="0" w:space="0" w:color="auto"/>
      </w:divBdr>
    </w:div>
    <w:div w:id="1091849180">
      <w:bodyDiv w:val="1"/>
      <w:marLeft w:val="0"/>
      <w:marRight w:val="0"/>
      <w:marTop w:val="0"/>
      <w:marBottom w:val="0"/>
      <w:divBdr>
        <w:top w:val="none" w:sz="0" w:space="0" w:color="auto"/>
        <w:left w:val="none" w:sz="0" w:space="0" w:color="auto"/>
        <w:bottom w:val="none" w:sz="0" w:space="0" w:color="auto"/>
        <w:right w:val="none" w:sz="0" w:space="0" w:color="auto"/>
      </w:divBdr>
      <w:divsChild>
        <w:div w:id="356664586">
          <w:marLeft w:val="0"/>
          <w:marRight w:val="0"/>
          <w:marTop w:val="300"/>
          <w:marBottom w:val="0"/>
          <w:divBdr>
            <w:top w:val="none" w:sz="0" w:space="0" w:color="auto"/>
            <w:left w:val="none" w:sz="0" w:space="0" w:color="auto"/>
            <w:bottom w:val="none" w:sz="0" w:space="0" w:color="auto"/>
            <w:right w:val="none" w:sz="0" w:space="0" w:color="auto"/>
          </w:divBdr>
        </w:div>
        <w:div w:id="452408480">
          <w:marLeft w:val="0"/>
          <w:marRight w:val="0"/>
          <w:marTop w:val="0"/>
          <w:marBottom w:val="0"/>
          <w:divBdr>
            <w:top w:val="none" w:sz="0" w:space="0" w:color="auto"/>
            <w:left w:val="none" w:sz="0" w:space="0" w:color="auto"/>
            <w:bottom w:val="none" w:sz="0" w:space="0" w:color="auto"/>
            <w:right w:val="none" w:sz="0" w:space="0" w:color="auto"/>
          </w:divBdr>
        </w:div>
        <w:div w:id="1878619374">
          <w:marLeft w:val="0"/>
          <w:marRight w:val="0"/>
          <w:marTop w:val="600"/>
          <w:marBottom w:val="450"/>
          <w:divBdr>
            <w:top w:val="none" w:sz="0" w:space="0" w:color="auto"/>
            <w:left w:val="none" w:sz="0" w:space="0" w:color="auto"/>
            <w:bottom w:val="none" w:sz="0" w:space="0" w:color="auto"/>
            <w:right w:val="none" w:sz="0" w:space="0" w:color="auto"/>
          </w:divBdr>
        </w:div>
        <w:div w:id="2090955950">
          <w:marLeft w:val="0"/>
          <w:marRight w:val="0"/>
          <w:marTop w:val="0"/>
          <w:marBottom w:val="450"/>
          <w:divBdr>
            <w:top w:val="none" w:sz="0" w:space="0" w:color="auto"/>
            <w:left w:val="none" w:sz="0" w:space="0" w:color="auto"/>
            <w:bottom w:val="none" w:sz="0" w:space="0" w:color="auto"/>
            <w:right w:val="none" w:sz="0" w:space="0" w:color="auto"/>
          </w:divBdr>
          <w:divsChild>
            <w:div w:id="175730641">
              <w:marLeft w:val="0"/>
              <w:marRight w:val="0"/>
              <w:marTop w:val="300"/>
              <w:marBottom w:val="0"/>
              <w:divBdr>
                <w:top w:val="single" w:sz="6" w:space="18" w:color="DDDDDD"/>
                <w:left w:val="single" w:sz="6" w:space="18" w:color="DDDDDD"/>
                <w:bottom w:val="single" w:sz="6" w:space="18" w:color="DDDDDD"/>
                <w:right w:val="single" w:sz="6" w:space="18" w:color="DDDDDD"/>
              </w:divBdr>
            </w:div>
            <w:div w:id="1014384714">
              <w:marLeft w:val="0"/>
              <w:marRight w:val="0"/>
              <w:marTop w:val="300"/>
              <w:marBottom w:val="0"/>
              <w:divBdr>
                <w:top w:val="single" w:sz="6" w:space="18" w:color="DDDDDD"/>
                <w:left w:val="single" w:sz="6" w:space="18" w:color="DDDDDD"/>
                <w:bottom w:val="single" w:sz="6" w:space="18" w:color="DDDDDD"/>
                <w:right w:val="single" w:sz="6" w:space="18" w:color="DDDDDD"/>
              </w:divBdr>
            </w:div>
            <w:div w:id="1423838999">
              <w:marLeft w:val="0"/>
              <w:marRight w:val="0"/>
              <w:marTop w:val="300"/>
              <w:marBottom w:val="0"/>
              <w:divBdr>
                <w:top w:val="single" w:sz="6" w:space="18" w:color="DDDDDD"/>
                <w:left w:val="single" w:sz="6" w:space="18" w:color="DDDDDD"/>
                <w:bottom w:val="single" w:sz="6" w:space="18" w:color="DDDDDD"/>
                <w:right w:val="single" w:sz="6" w:space="18" w:color="DDDDDD"/>
              </w:divBdr>
            </w:div>
          </w:divsChild>
        </w:div>
        <w:div w:id="1376470373">
          <w:marLeft w:val="0"/>
          <w:marRight w:val="0"/>
          <w:marTop w:val="720"/>
          <w:marBottom w:val="0"/>
          <w:divBdr>
            <w:top w:val="none" w:sz="0" w:space="0" w:color="auto"/>
            <w:left w:val="none" w:sz="0" w:space="0" w:color="auto"/>
            <w:bottom w:val="none" w:sz="0" w:space="0" w:color="auto"/>
            <w:right w:val="none" w:sz="0" w:space="0" w:color="auto"/>
          </w:divBdr>
        </w:div>
      </w:divsChild>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384407023">
      <w:bodyDiv w:val="1"/>
      <w:marLeft w:val="0"/>
      <w:marRight w:val="0"/>
      <w:marTop w:val="0"/>
      <w:marBottom w:val="0"/>
      <w:divBdr>
        <w:top w:val="none" w:sz="0" w:space="0" w:color="auto"/>
        <w:left w:val="none" w:sz="0" w:space="0" w:color="auto"/>
        <w:bottom w:val="none" w:sz="0" w:space="0" w:color="auto"/>
        <w:right w:val="none" w:sz="0" w:space="0" w:color="auto"/>
      </w:divBdr>
    </w:div>
    <w:div w:id="2065639307">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ve.webaim.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Rhodes-Wood, Kevin</cp:lastModifiedBy>
  <cp:revision>124</cp:revision>
  <dcterms:created xsi:type="dcterms:W3CDTF">2023-03-02T11:53:00Z</dcterms:created>
  <dcterms:modified xsi:type="dcterms:W3CDTF">2024-04-03T07:45:00Z</dcterms:modified>
</cp:coreProperties>
</file>