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DF13" w14:textId="4675917A" w:rsidR="00045256" w:rsidRPr="00045256" w:rsidRDefault="00045256">
      <w:pPr>
        <w:rPr>
          <w:b/>
          <w:bCs/>
          <w:sz w:val="24"/>
          <w:szCs w:val="24"/>
        </w:rPr>
      </w:pPr>
      <w:r w:rsidRPr="00045256">
        <w:rPr>
          <w:b/>
          <w:bCs/>
          <w:sz w:val="24"/>
          <w:szCs w:val="24"/>
        </w:rPr>
        <w:t>OTLA update activity Strengths</w:t>
      </w:r>
    </w:p>
    <w:p w14:paraId="3647F4EB" w14:textId="402ACD1E" w:rsidR="005E1363" w:rsidRPr="00045256" w:rsidRDefault="00553D4E">
      <w:pPr>
        <w:rPr>
          <w:sz w:val="24"/>
          <w:szCs w:val="24"/>
        </w:rPr>
      </w:pPr>
      <w:r w:rsidRPr="00045256">
        <w:rPr>
          <w:sz w:val="24"/>
          <w:szCs w:val="24"/>
        </w:rPr>
        <w:t xml:space="preserve">For each of the </w:t>
      </w:r>
      <w:r w:rsidR="00045256" w:rsidRPr="00045256">
        <w:rPr>
          <w:sz w:val="24"/>
          <w:szCs w:val="24"/>
        </w:rPr>
        <w:t xml:space="preserve">strengths </w:t>
      </w:r>
      <w:r w:rsidRPr="00045256">
        <w:rPr>
          <w:sz w:val="24"/>
          <w:szCs w:val="24"/>
        </w:rPr>
        <w:t>below identify which area they would be categorised as</w:t>
      </w:r>
    </w:p>
    <w:tbl>
      <w:tblPr>
        <w:tblStyle w:val="TableGrid"/>
        <w:tblW w:w="9082" w:type="dxa"/>
        <w:tblLook w:val="04A0" w:firstRow="1" w:lastRow="0" w:firstColumn="1" w:lastColumn="0" w:noHBand="0" w:noVBand="1"/>
      </w:tblPr>
      <w:tblGrid>
        <w:gridCol w:w="3256"/>
        <w:gridCol w:w="5826"/>
      </w:tblGrid>
      <w:tr w:rsidR="00553D4E" w:rsidRPr="00045256" w14:paraId="2E5E051E" w14:textId="77777777" w:rsidTr="00AE0ACD">
        <w:trPr>
          <w:trHeight w:val="1239"/>
        </w:trPr>
        <w:tc>
          <w:tcPr>
            <w:tcW w:w="3256" w:type="dxa"/>
          </w:tcPr>
          <w:p w14:paraId="2B500707" w14:textId="77777777" w:rsidR="00553D4E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</w:t>
            </w:r>
          </w:p>
          <w:p w14:paraId="5EACD358" w14:textId="1367A828" w:rsidR="00E75DC4" w:rsidRPr="00045256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Development</w:t>
            </w:r>
          </w:p>
        </w:tc>
        <w:tc>
          <w:tcPr>
            <w:tcW w:w="5826" w:type="dxa"/>
            <w:vAlign w:val="center"/>
          </w:tcPr>
          <w:p w14:paraId="2734C45E" w14:textId="79DF7D51" w:rsidR="00553D4E" w:rsidRPr="00045256" w:rsidRDefault="00DC3DA4" w:rsidP="00AE0ACD">
            <w:pPr>
              <w:rPr>
                <w:sz w:val="24"/>
                <w:szCs w:val="24"/>
              </w:rPr>
            </w:pPr>
            <w:r w:rsidRPr="00DC3DA4">
              <w:rPr>
                <w:sz w:val="24"/>
                <w:szCs w:val="24"/>
              </w:rPr>
              <w:t>Good use of practical examples of promoting EDI</w:t>
            </w:r>
          </w:p>
        </w:tc>
      </w:tr>
      <w:tr w:rsidR="00553D4E" w:rsidRPr="00045256" w14:paraId="00D78402" w14:textId="77777777" w:rsidTr="00AE0ACD">
        <w:trPr>
          <w:trHeight w:val="1288"/>
        </w:trPr>
        <w:tc>
          <w:tcPr>
            <w:tcW w:w="3256" w:type="dxa"/>
          </w:tcPr>
          <w:p w14:paraId="67F727DD" w14:textId="5F06F1BB" w:rsidR="00553D4E" w:rsidRPr="00045256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Appropriateness of Content</w:t>
            </w:r>
          </w:p>
        </w:tc>
        <w:tc>
          <w:tcPr>
            <w:tcW w:w="5826" w:type="dxa"/>
            <w:vAlign w:val="center"/>
          </w:tcPr>
          <w:p w14:paraId="0FC12C92" w14:textId="214FF69F" w:rsidR="00553D4E" w:rsidRPr="00045256" w:rsidRDefault="00AC1237" w:rsidP="00AE0ACD">
            <w:pPr>
              <w:rPr>
                <w:sz w:val="24"/>
                <w:szCs w:val="24"/>
              </w:rPr>
            </w:pPr>
            <w:r w:rsidRPr="00AC1237">
              <w:rPr>
                <w:sz w:val="24"/>
                <w:szCs w:val="24"/>
              </w:rPr>
              <w:t>You gave learners alternative levels of challenge/difficulty for each pose.</w:t>
            </w:r>
          </w:p>
        </w:tc>
      </w:tr>
      <w:tr w:rsidR="00553D4E" w:rsidRPr="00045256" w14:paraId="694DE7C7" w14:textId="77777777" w:rsidTr="00AE0ACD">
        <w:trPr>
          <w:trHeight w:val="1239"/>
        </w:trPr>
        <w:tc>
          <w:tcPr>
            <w:tcW w:w="3256" w:type="dxa"/>
          </w:tcPr>
          <w:p w14:paraId="66EFDF38" w14:textId="1ED7546E" w:rsidR="00553D4E" w:rsidRPr="00045256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Appropriateness of Content</w:t>
            </w:r>
          </w:p>
        </w:tc>
        <w:tc>
          <w:tcPr>
            <w:tcW w:w="5826" w:type="dxa"/>
            <w:vAlign w:val="center"/>
          </w:tcPr>
          <w:p w14:paraId="1B5364C7" w14:textId="4DE16A37" w:rsidR="00553D4E" w:rsidRPr="00045256" w:rsidRDefault="00D142F0" w:rsidP="00AE0ACD">
            <w:pPr>
              <w:rPr>
                <w:sz w:val="24"/>
                <w:szCs w:val="24"/>
              </w:rPr>
            </w:pPr>
            <w:r w:rsidRPr="00D142F0">
              <w:rPr>
                <w:sz w:val="24"/>
                <w:szCs w:val="24"/>
              </w:rPr>
              <w:t>Good level of support and differentiation, so that each learner was able to follow their own creativity</w:t>
            </w:r>
          </w:p>
        </w:tc>
      </w:tr>
      <w:tr w:rsidR="00553D4E" w:rsidRPr="00045256" w14:paraId="58F1FA5D" w14:textId="77777777" w:rsidTr="00AE0ACD">
        <w:trPr>
          <w:trHeight w:val="1239"/>
        </w:trPr>
        <w:tc>
          <w:tcPr>
            <w:tcW w:w="3256" w:type="dxa"/>
          </w:tcPr>
          <w:p w14:paraId="20D026C9" w14:textId="77777777" w:rsidR="00553D4E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Appropriateness of Content</w:t>
            </w:r>
          </w:p>
          <w:p w14:paraId="4CDCDF7E" w14:textId="77777777" w:rsidR="00E75DC4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Learning</w:t>
            </w:r>
          </w:p>
          <w:p w14:paraId="6CC1B40D" w14:textId="79F480AC" w:rsidR="00E75DC4" w:rsidRPr="00045256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Attitude to Learning</w:t>
            </w:r>
          </w:p>
        </w:tc>
        <w:tc>
          <w:tcPr>
            <w:tcW w:w="5826" w:type="dxa"/>
            <w:vAlign w:val="center"/>
          </w:tcPr>
          <w:p w14:paraId="5E25531A" w14:textId="40D3E60B" w:rsidR="00553D4E" w:rsidRPr="00045256" w:rsidRDefault="00D142F0" w:rsidP="00AE0ACD">
            <w:pPr>
              <w:rPr>
                <w:sz w:val="24"/>
                <w:szCs w:val="24"/>
              </w:rPr>
            </w:pPr>
            <w:r w:rsidRPr="00D142F0">
              <w:rPr>
                <w:sz w:val="24"/>
                <w:szCs w:val="24"/>
              </w:rPr>
              <w:t>Learner engagement is very good</w:t>
            </w:r>
          </w:p>
        </w:tc>
      </w:tr>
      <w:tr w:rsidR="00553D4E" w:rsidRPr="00045256" w14:paraId="3CDEB95E" w14:textId="77777777" w:rsidTr="00AE0ACD">
        <w:trPr>
          <w:trHeight w:val="1239"/>
        </w:trPr>
        <w:tc>
          <w:tcPr>
            <w:tcW w:w="3256" w:type="dxa"/>
          </w:tcPr>
          <w:p w14:paraId="165C3F6C" w14:textId="77777777" w:rsidR="00553D4E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Expertise</w:t>
            </w:r>
          </w:p>
          <w:p w14:paraId="561EAD88" w14:textId="3D5CE20D" w:rsidR="00E75DC4" w:rsidRPr="00045256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of Learning</w:t>
            </w:r>
          </w:p>
        </w:tc>
        <w:tc>
          <w:tcPr>
            <w:tcW w:w="5826" w:type="dxa"/>
            <w:vAlign w:val="center"/>
          </w:tcPr>
          <w:p w14:paraId="71F41BE3" w14:textId="0682559C" w:rsidR="00553D4E" w:rsidRPr="00045256" w:rsidRDefault="00E311D1" w:rsidP="00AE0ACD">
            <w:pPr>
              <w:rPr>
                <w:sz w:val="24"/>
                <w:szCs w:val="24"/>
              </w:rPr>
            </w:pPr>
            <w:r w:rsidRPr="00E311D1">
              <w:rPr>
                <w:sz w:val="24"/>
                <w:szCs w:val="24"/>
              </w:rPr>
              <w:t>Good planning, allowing flexibility whilst still ensuring achievement</w:t>
            </w:r>
          </w:p>
        </w:tc>
      </w:tr>
      <w:tr w:rsidR="00553D4E" w:rsidRPr="00045256" w14:paraId="1033FEC6" w14:textId="77777777" w:rsidTr="00AE0ACD">
        <w:trPr>
          <w:trHeight w:val="1288"/>
        </w:trPr>
        <w:tc>
          <w:tcPr>
            <w:tcW w:w="3256" w:type="dxa"/>
          </w:tcPr>
          <w:p w14:paraId="051BB65E" w14:textId="77777777" w:rsidR="00553D4E" w:rsidRDefault="00E7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Sequence of Learning</w:t>
            </w:r>
          </w:p>
          <w:p w14:paraId="477A2630" w14:textId="129192FC" w:rsidR="00E75DC4" w:rsidRPr="00045256" w:rsidRDefault="00AB0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Learning</w:t>
            </w:r>
          </w:p>
        </w:tc>
        <w:tc>
          <w:tcPr>
            <w:tcW w:w="5826" w:type="dxa"/>
            <w:vAlign w:val="center"/>
          </w:tcPr>
          <w:p w14:paraId="3417CD84" w14:textId="577B21D0" w:rsidR="00553D4E" w:rsidRPr="00045256" w:rsidRDefault="00AF315B" w:rsidP="00AE0ACD">
            <w:pPr>
              <w:rPr>
                <w:sz w:val="24"/>
                <w:szCs w:val="24"/>
              </w:rPr>
            </w:pPr>
            <w:r w:rsidRPr="00AF315B">
              <w:rPr>
                <w:sz w:val="24"/>
                <w:szCs w:val="24"/>
              </w:rPr>
              <w:t>Session builds well on previous learning</w:t>
            </w:r>
          </w:p>
        </w:tc>
      </w:tr>
      <w:tr w:rsidR="00553D4E" w:rsidRPr="00045256" w14:paraId="23F42DBB" w14:textId="77777777" w:rsidTr="00AE0ACD">
        <w:trPr>
          <w:trHeight w:val="1239"/>
        </w:trPr>
        <w:tc>
          <w:tcPr>
            <w:tcW w:w="3256" w:type="dxa"/>
          </w:tcPr>
          <w:p w14:paraId="35C19FC9" w14:textId="77B31CB6" w:rsidR="00553D4E" w:rsidRPr="00045256" w:rsidRDefault="00AB0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Communication Skills </w:t>
            </w:r>
          </w:p>
        </w:tc>
        <w:tc>
          <w:tcPr>
            <w:tcW w:w="5826" w:type="dxa"/>
            <w:vAlign w:val="center"/>
          </w:tcPr>
          <w:p w14:paraId="601BC227" w14:textId="79B17042" w:rsidR="00553D4E" w:rsidRPr="00045256" w:rsidRDefault="00AF315B" w:rsidP="00AE0ACD">
            <w:pPr>
              <w:rPr>
                <w:sz w:val="24"/>
                <w:szCs w:val="24"/>
              </w:rPr>
            </w:pPr>
            <w:r w:rsidRPr="00AF315B">
              <w:rPr>
                <w:sz w:val="24"/>
                <w:szCs w:val="24"/>
              </w:rPr>
              <w:t>Very good use of assistant to support learners and to monitor feedback</w:t>
            </w:r>
          </w:p>
        </w:tc>
      </w:tr>
      <w:tr w:rsidR="00553D4E" w:rsidRPr="00045256" w14:paraId="75D4DC4D" w14:textId="77777777" w:rsidTr="00AE0ACD">
        <w:trPr>
          <w:trHeight w:val="1239"/>
        </w:trPr>
        <w:tc>
          <w:tcPr>
            <w:tcW w:w="3256" w:type="dxa"/>
          </w:tcPr>
          <w:p w14:paraId="698B376C" w14:textId="34599AD9" w:rsidR="00553D4E" w:rsidRPr="00045256" w:rsidRDefault="00AB0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Learning</w:t>
            </w:r>
          </w:p>
        </w:tc>
        <w:tc>
          <w:tcPr>
            <w:tcW w:w="5826" w:type="dxa"/>
            <w:vAlign w:val="center"/>
          </w:tcPr>
          <w:p w14:paraId="1CDA17EF" w14:textId="00DDFEB5" w:rsidR="00553D4E" w:rsidRPr="00045256" w:rsidRDefault="002726CE" w:rsidP="00AE0ACD">
            <w:pPr>
              <w:rPr>
                <w:sz w:val="24"/>
                <w:szCs w:val="24"/>
              </w:rPr>
            </w:pPr>
            <w:r w:rsidRPr="002726CE">
              <w:rPr>
                <w:sz w:val="24"/>
                <w:szCs w:val="24"/>
              </w:rPr>
              <w:t>Learners were highly engaged and actively involved in the session, learners</w:t>
            </w:r>
          </w:p>
        </w:tc>
      </w:tr>
      <w:tr w:rsidR="00553D4E" w:rsidRPr="00045256" w14:paraId="6EA37DDF" w14:textId="77777777" w:rsidTr="00AE0ACD">
        <w:trPr>
          <w:trHeight w:val="1239"/>
        </w:trPr>
        <w:tc>
          <w:tcPr>
            <w:tcW w:w="3256" w:type="dxa"/>
          </w:tcPr>
          <w:p w14:paraId="36B4E29B" w14:textId="139BA8CF" w:rsidR="00553D4E" w:rsidRPr="00045256" w:rsidRDefault="00AB0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826" w:type="dxa"/>
            <w:vAlign w:val="center"/>
          </w:tcPr>
          <w:p w14:paraId="54662B99" w14:textId="4F5B0F24" w:rsidR="00553D4E" w:rsidRPr="00045256" w:rsidRDefault="002726CE" w:rsidP="00AE0ACD">
            <w:pPr>
              <w:rPr>
                <w:sz w:val="24"/>
                <w:szCs w:val="24"/>
              </w:rPr>
            </w:pPr>
            <w:r w:rsidRPr="002726CE">
              <w:rPr>
                <w:sz w:val="24"/>
                <w:szCs w:val="24"/>
              </w:rPr>
              <w:t>Excellent embedding of BV. A democratic learning environment is promoted throughout the session.</w:t>
            </w:r>
          </w:p>
        </w:tc>
      </w:tr>
      <w:tr w:rsidR="00553D4E" w:rsidRPr="00045256" w14:paraId="5B9534E8" w14:textId="77777777" w:rsidTr="00AE0ACD">
        <w:trPr>
          <w:trHeight w:val="1239"/>
        </w:trPr>
        <w:tc>
          <w:tcPr>
            <w:tcW w:w="3256" w:type="dxa"/>
          </w:tcPr>
          <w:p w14:paraId="2AB78B0C" w14:textId="2368D28D" w:rsidR="00553D4E" w:rsidRPr="00045256" w:rsidRDefault="00AB0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5826" w:type="dxa"/>
            <w:vAlign w:val="center"/>
          </w:tcPr>
          <w:p w14:paraId="5E5E1D41" w14:textId="21418C57" w:rsidR="00553D4E" w:rsidRPr="00045256" w:rsidRDefault="004366F6" w:rsidP="00AE0ACD">
            <w:pPr>
              <w:rPr>
                <w:sz w:val="24"/>
                <w:szCs w:val="24"/>
              </w:rPr>
            </w:pPr>
            <w:r w:rsidRPr="004366F6">
              <w:rPr>
                <w:sz w:val="24"/>
                <w:szCs w:val="24"/>
              </w:rPr>
              <w:t>Excellent embedding of BV. A democratic learning environment is promoted throughout the session.</w:t>
            </w:r>
          </w:p>
        </w:tc>
      </w:tr>
    </w:tbl>
    <w:p w14:paraId="41D45FDF" w14:textId="77777777" w:rsidR="00553D4E" w:rsidRPr="00045256" w:rsidRDefault="00553D4E">
      <w:pPr>
        <w:rPr>
          <w:sz w:val="24"/>
          <w:szCs w:val="24"/>
        </w:rPr>
      </w:pPr>
    </w:p>
    <w:sectPr w:rsidR="00553D4E" w:rsidRPr="00045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E2F"/>
    <w:multiLevelType w:val="multilevel"/>
    <w:tmpl w:val="8B2C86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0E5F6D"/>
    <w:multiLevelType w:val="multilevel"/>
    <w:tmpl w:val="C7A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66015B"/>
    <w:multiLevelType w:val="multilevel"/>
    <w:tmpl w:val="08A06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6ABE3BC0"/>
    <w:multiLevelType w:val="multilevel"/>
    <w:tmpl w:val="07D4A6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8568879">
    <w:abstractNumId w:val="2"/>
  </w:num>
  <w:num w:numId="2" w16cid:durableId="447818562">
    <w:abstractNumId w:val="1"/>
  </w:num>
  <w:num w:numId="3" w16cid:durableId="287786912">
    <w:abstractNumId w:val="0"/>
  </w:num>
  <w:num w:numId="4" w16cid:durableId="187723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09"/>
    <w:rsid w:val="00045256"/>
    <w:rsid w:val="002726CE"/>
    <w:rsid w:val="0041448E"/>
    <w:rsid w:val="004366F6"/>
    <w:rsid w:val="00553D4E"/>
    <w:rsid w:val="005E1363"/>
    <w:rsid w:val="008A136E"/>
    <w:rsid w:val="008B6609"/>
    <w:rsid w:val="008D7F75"/>
    <w:rsid w:val="00A10585"/>
    <w:rsid w:val="00A5630C"/>
    <w:rsid w:val="00AA1812"/>
    <w:rsid w:val="00AB0C85"/>
    <w:rsid w:val="00AC1237"/>
    <w:rsid w:val="00AE0ACD"/>
    <w:rsid w:val="00AF315B"/>
    <w:rsid w:val="00B859CB"/>
    <w:rsid w:val="00D142F0"/>
    <w:rsid w:val="00DC3DA4"/>
    <w:rsid w:val="00E311D1"/>
    <w:rsid w:val="00E75DC4"/>
    <w:rsid w:val="00E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71A3"/>
  <w15:chartTrackingRefBased/>
  <w15:docId w15:val="{9F404639-E12D-46BE-8BF2-9C2C5BA3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448E"/>
    <w:pPr>
      <w:keepNext/>
      <w:keepLines/>
      <w:numPr>
        <w:numId w:val="4"/>
      </w:numPr>
      <w:spacing w:before="240" w:after="0" w:line="240" w:lineRule="auto"/>
      <w:ind w:left="360" w:hanging="360"/>
      <w:outlineLvl w:val="0"/>
    </w:pPr>
    <w:rPr>
      <w:rFonts w:eastAsiaTheme="majorEastAsia" w:cstheme="majorBidi"/>
      <w:b/>
      <w:bCs/>
      <w:sz w:val="24"/>
      <w:szCs w:val="24"/>
      <w:lang w:eastAsia="en-GB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5630C"/>
    <w:pPr>
      <w:keepNext/>
      <w:numPr>
        <w:ilvl w:val="1"/>
        <w:numId w:val="3"/>
      </w:numPr>
      <w:spacing w:before="40" w:after="0" w:line="240" w:lineRule="auto"/>
      <w:outlineLvl w:val="1"/>
    </w:pPr>
    <w:rPr>
      <w:rFonts w:cs="Calibri Light"/>
      <w:b/>
      <w:color w:val="000000" w:themeColor="text1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8E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630C"/>
    <w:rPr>
      <w:rFonts w:ascii="Arial" w:hAnsi="Arial" w:cs="Calibri Light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5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Flack, Katharine</cp:lastModifiedBy>
  <cp:revision>2</cp:revision>
  <dcterms:created xsi:type="dcterms:W3CDTF">2022-09-09T11:46:00Z</dcterms:created>
  <dcterms:modified xsi:type="dcterms:W3CDTF">2022-09-09T11:46:00Z</dcterms:modified>
</cp:coreProperties>
</file>